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D5" w:rsidRDefault="00EA7703" w:rsidP="004452D5">
      <w:pPr>
        <w:pStyle w:val="a7"/>
        <w:tabs>
          <w:tab w:val="left" w:pos="5954"/>
        </w:tabs>
        <w:spacing w:before="0" w:beforeAutospacing="0" w:after="0"/>
        <w:ind w:left="5103"/>
        <w:jc w:val="center"/>
        <w:textAlignment w:val="baseline"/>
        <w:rPr>
          <w:sz w:val="22"/>
          <w:szCs w:val="22"/>
        </w:rPr>
      </w:pPr>
      <w:r>
        <w:t xml:space="preserve">     </w:t>
      </w:r>
      <w:r w:rsidR="004452D5">
        <w:rPr>
          <w:b/>
          <w:bCs/>
          <w:color w:val="000000"/>
          <w:kern w:val="24"/>
          <w:sz w:val="22"/>
          <w:szCs w:val="22"/>
          <w:lang w:val="uk-UA"/>
        </w:rPr>
        <w:t>ЗАТВЕРДЖЕНО</w:t>
      </w:r>
    </w:p>
    <w:p w:rsidR="004452D5" w:rsidRDefault="004452D5" w:rsidP="004452D5">
      <w:pPr>
        <w:pStyle w:val="a7"/>
        <w:tabs>
          <w:tab w:val="left" w:pos="5954"/>
        </w:tabs>
        <w:spacing w:before="0" w:beforeAutospacing="0" w:after="0"/>
        <w:ind w:left="5103"/>
        <w:jc w:val="center"/>
        <w:textAlignment w:val="baseline"/>
        <w:rPr>
          <w:sz w:val="22"/>
          <w:szCs w:val="22"/>
        </w:rPr>
      </w:pPr>
      <w:r>
        <w:rPr>
          <w:b/>
          <w:bCs/>
          <w:i/>
          <w:iCs/>
          <w:color w:val="000000"/>
          <w:kern w:val="24"/>
          <w:sz w:val="22"/>
          <w:szCs w:val="22"/>
          <w:lang w:val="uk-UA"/>
        </w:rPr>
        <w:t>Рішення Первомайської міської ради</w:t>
      </w:r>
    </w:p>
    <w:p w:rsidR="004452D5" w:rsidRDefault="004452D5" w:rsidP="004452D5">
      <w:pPr>
        <w:pStyle w:val="a7"/>
        <w:tabs>
          <w:tab w:val="left" w:pos="5954"/>
        </w:tabs>
        <w:spacing w:before="0" w:beforeAutospacing="0" w:after="0"/>
        <w:ind w:left="5103"/>
        <w:textAlignment w:val="baseline"/>
        <w:rPr>
          <w:sz w:val="22"/>
          <w:szCs w:val="22"/>
        </w:rPr>
      </w:pPr>
      <w:r>
        <w:rPr>
          <w:b/>
          <w:bCs/>
          <w:i/>
          <w:iCs/>
          <w:color w:val="000000"/>
          <w:kern w:val="24"/>
          <w:sz w:val="22"/>
          <w:szCs w:val="22"/>
          <w:lang w:val="uk-UA"/>
        </w:rPr>
        <w:t xml:space="preserve">      від </w:t>
      </w:r>
      <w:r w:rsidR="0002635B">
        <w:rPr>
          <w:b/>
          <w:bCs/>
          <w:i/>
          <w:iCs/>
          <w:color w:val="000000"/>
          <w:kern w:val="24"/>
          <w:sz w:val="22"/>
          <w:szCs w:val="22"/>
          <w:lang w:val="uk-UA"/>
        </w:rPr>
        <w:t xml:space="preserve">23 лютого </w:t>
      </w:r>
      <w:r>
        <w:rPr>
          <w:b/>
          <w:bCs/>
          <w:i/>
          <w:iCs/>
          <w:color w:val="000000"/>
          <w:kern w:val="24"/>
          <w:sz w:val="22"/>
          <w:szCs w:val="22"/>
          <w:lang w:val="uk-UA"/>
        </w:rPr>
        <w:t xml:space="preserve"> 2023</w:t>
      </w:r>
      <w:r w:rsidR="008947DC">
        <w:rPr>
          <w:b/>
          <w:bCs/>
          <w:i/>
          <w:iCs/>
          <w:color w:val="000000"/>
          <w:kern w:val="24"/>
          <w:sz w:val="22"/>
          <w:szCs w:val="22"/>
          <w:lang w:val="uk-UA"/>
        </w:rPr>
        <w:t xml:space="preserve"> </w:t>
      </w:r>
      <w:r>
        <w:rPr>
          <w:b/>
          <w:bCs/>
          <w:i/>
          <w:iCs/>
          <w:color w:val="000000"/>
          <w:kern w:val="24"/>
          <w:sz w:val="22"/>
          <w:szCs w:val="22"/>
          <w:lang w:val="uk-UA"/>
        </w:rPr>
        <w:t xml:space="preserve">року  № </w:t>
      </w:r>
      <w:r w:rsidR="00033730">
        <w:rPr>
          <w:b/>
          <w:bCs/>
          <w:i/>
          <w:iCs/>
          <w:color w:val="000000"/>
          <w:kern w:val="24"/>
          <w:sz w:val="22"/>
          <w:szCs w:val="22"/>
          <w:lang w:val="uk-UA"/>
        </w:rPr>
        <w:t>698-35/8</w:t>
      </w:r>
    </w:p>
    <w:p w:rsidR="000D72B7" w:rsidRPr="00187AD4" w:rsidRDefault="00EA7703" w:rsidP="000D7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D72B7" w:rsidRPr="00187AD4" w:rsidRDefault="000D72B7" w:rsidP="000D72B7">
      <w:pPr>
        <w:spacing w:after="0"/>
        <w:rPr>
          <w:rFonts w:ascii="Times New Roman" w:hAnsi="Times New Roman"/>
          <w:b/>
        </w:rPr>
      </w:pPr>
    </w:p>
    <w:p w:rsidR="000D72B7" w:rsidRPr="00AD09EA" w:rsidRDefault="00476D21" w:rsidP="004452D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МІСЦЕВА </w:t>
      </w:r>
      <w:r w:rsidR="000D72B7" w:rsidRPr="00AD09EA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ПРОГРАМА</w:t>
      </w:r>
    </w:p>
    <w:p w:rsidR="00E7515D" w:rsidRPr="00956E6B" w:rsidRDefault="00E34889" w:rsidP="00956E6B">
      <w:pPr>
        <w:spacing w:line="240" w:lineRule="auto"/>
        <w:jc w:val="center"/>
        <w:rPr>
          <w:rStyle w:val="a6"/>
          <w:rFonts w:ascii="Times New Roman" w:eastAsia="Times New Roman" w:hAnsi="Times New Roman"/>
          <w:bCs w:val="0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Енергодім</w:t>
      </w:r>
      <w:proofErr w:type="spellEnd"/>
      <w:r w:rsidR="000D72B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м.</w:t>
      </w:r>
      <w:r w:rsidR="008A1C18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 w:rsidR="00330F08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Первомайський  на 2023</w:t>
      </w:r>
      <w:r w:rsidR="000D72B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р</w:t>
      </w:r>
      <w:r w:rsidR="00330F08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ік</w:t>
      </w:r>
    </w:p>
    <w:p w:rsidR="000D72B7" w:rsidRDefault="000D72B7" w:rsidP="00FD2489">
      <w:pPr>
        <w:pStyle w:val="a7"/>
        <w:spacing w:before="0" w:beforeAutospacing="0" w:after="0"/>
        <w:jc w:val="center"/>
        <w:rPr>
          <w:rStyle w:val="a6"/>
          <w:color w:val="000000"/>
          <w:lang w:val="uk-UA"/>
        </w:rPr>
      </w:pPr>
      <w:r>
        <w:rPr>
          <w:rStyle w:val="a6"/>
          <w:color w:val="000000"/>
          <w:lang w:val="uk-UA"/>
        </w:rPr>
        <w:t>1.</w:t>
      </w:r>
      <w:r w:rsidRPr="00AD09EA">
        <w:rPr>
          <w:rStyle w:val="a6"/>
          <w:color w:val="000000"/>
          <w:lang w:val="uk-UA"/>
        </w:rPr>
        <w:t>Вступ</w:t>
      </w:r>
    </w:p>
    <w:p w:rsidR="00FD2489" w:rsidRPr="008F5986" w:rsidRDefault="00FD2489" w:rsidP="00FD2489">
      <w:pPr>
        <w:pStyle w:val="a7"/>
        <w:spacing w:before="0" w:beforeAutospacing="0" w:after="0"/>
        <w:jc w:val="center"/>
        <w:rPr>
          <w:rStyle w:val="a6"/>
          <w:color w:val="000000"/>
          <w:lang w:val="uk-UA"/>
        </w:rPr>
      </w:pPr>
    </w:p>
    <w:p w:rsidR="00087642" w:rsidRPr="004347F1" w:rsidRDefault="006804F1" w:rsidP="00FD2489">
      <w:pPr>
        <w:spacing w:after="0" w:line="240" w:lineRule="auto"/>
        <w:ind w:right="125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4347F1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     </w:t>
      </w:r>
      <w:r w:rsidRPr="004347F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Нагальною проблемою в місті Первомайський</w:t>
      </w:r>
      <w:r w:rsidR="00330F08" w:rsidRPr="004347F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є стан багатоквартирного житлового фонду. Для вирішення зазначеної проблеми потрібні великі фінансові </w:t>
      </w:r>
      <w:r w:rsidR="003E3B0B" w:rsidRPr="004347F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ресурси, які відсутні в місцевому бюджеті</w:t>
      </w:r>
      <w:r w:rsidR="00330F08" w:rsidRPr="004347F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 Вирішити цю проблему дозволяє залучення зовнішніх фінансових інструментів, які вже створені та працюють в Україні.</w:t>
      </w:r>
    </w:p>
    <w:p w:rsidR="00087642" w:rsidRDefault="00087642" w:rsidP="00087642">
      <w:pPr>
        <w:spacing w:after="0" w:line="240" w:lineRule="auto"/>
        <w:ind w:right="125"/>
        <w:jc w:val="both"/>
        <w:outlineLvl w:val="1"/>
        <w:rPr>
          <w:rFonts w:ascii="Times New Roman" w:eastAsia="Times New Roman" w:hAnsi="Times New Roman"/>
          <w:bCs/>
          <w:color w:val="3333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605C2" w:rsidRPr="00DD29BD">
        <w:rPr>
          <w:rFonts w:ascii="Times New Roman" w:hAnsi="Times New Roman"/>
          <w:sz w:val="24"/>
          <w:szCs w:val="24"/>
        </w:rPr>
        <w:t xml:space="preserve">Відповідно до Закону України «Про Фонд </w:t>
      </w:r>
      <w:proofErr w:type="spellStart"/>
      <w:r w:rsidR="002605C2" w:rsidRPr="00DD29BD">
        <w:rPr>
          <w:rFonts w:ascii="Times New Roman" w:hAnsi="Times New Roman"/>
          <w:sz w:val="24"/>
          <w:szCs w:val="24"/>
        </w:rPr>
        <w:t>енергоефективності</w:t>
      </w:r>
      <w:proofErr w:type="spellEnd"/>
      <w:r w:rsidR="002605C2" w:rsidRPr="00DD29BD">
        <w:rPr>
          <w:rFonts w:ascii="Times New Roman" w:hAnsi="Times New Roman"/>
          <w:sz w:val="24"/>
          <w:szCs w:val="24"/>
        </w:rPr>
        <w:t>» від 08.06.2017 №</w:t>
      </w:r>
      <w:r w:rsidR="00DD29BD">
        <w:rPr>
          <w:rFonts w:ascii="Times New Roman" w:hAnsi="Times New Roman"/>
          <w:sz w:val="24"/>
          <w:szCs w:val="24"/>
        </w:rPr>
        <w:t xml:space="preserve"> </w:t>
      </w:r>
      <w:r w:rsidR="002605C2" w:rsidRPr="00DD29BD">
        <w:rPr>
          <w:rFonts w:ascii="Times New Roman" w:hAnsi="Times New Roman"/>
          <w:sz w:val="24"/>
          <w:szCs w:val="24"/>
        </w:rPr>
        <w:t xml:space="preserve">2095-VIII та постанови Кабінету Міністрів України «Про утворення </w:t>
      </w:r>
      <w:r w:rsidR="002605C2" w:rsidRPr="00DD29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державної установи «Фонд </w:t>
      </w:r>
      <w:proofErr w:type="spellStart"/>
      <w:r w:rsidR="002605C2" w:rsidRPr="00DD29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енергоефективності</w:t>
      </w:r>
      <w:proofErr w:type="spellEnd"/>
      <w:r w:rsidR="002605C2" w:rsidRPr="00DD29BD">
        <w:rPr>
          <w:rFonts w:ascii="Times New Roman" w:hAnsi="Times New Roman"/>
          <w:sz w:val="24"/>
          <w:szCs w:val="24"/>
        </w:rPr>
        <w:t xml:space="preserve">» від 20 грудня 2017 року № 1099 було створено державну установу «Фонд </w:t>
      </w:r>
      <w:proofErr w:type="spellStart"/>
      <w:r w:rsidR="002605C2" w:rsidRPr="00DD29BD">
        <w:rPr>
          <w:rFonts w:ascii="Times New Roman" w:hAnsi="Times New Roman"/>
          <w:sz w:val="24"/>
          <w:szCs w:val="24"/>
        </w:rPr>
        <w:t>енергоефективності</w:t>
      </w:r>
      <w:proofErr w:type="spellEnd"/>
      <w:r w:rsidR="002605C2" w:rsidRPr="00DD29BD">
        <w:rPr>
          <w:rFonts w:ascii="Times New Roman" w:hAnsi="Times New Roman"/>
          <w:sz w:val="24"/>
          <w:szCs w:val="24"/>
        </w:rPr>
        <w:t xml:space="preserve">» (далі за текстом – Фонд), метою діяльності якої </w:t>
      </w:r>
      <w:r w:rsidR="002605C2" w:rsidRPr="00DD29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є підтримка ініціатив щодо </w:t>
      </w:r>
      <w:proofErr w:type="spellStart"/>
      <w:r w:rsidR="002605C2" w:rsidRPr="00DD29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енергоефективності</w:t>
      </w:r>
      <w:proofErr w:type="spellEnd"/>
      <w:r w:rsidR="002605C2" w:rsidRPr="00DD29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впровадження інструментів стимулювання і підтримки здійснення заходів з підвищення рівня </w:t>
      </w:r>
      <w:proofErr w:type="spellStart"/>
      <w:r w:rsidR="002605C2" w:rsidRPr="00DD29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енергоефективності</w:t>
      </w:r>
      <w:proofErr w:type="spellEnd"/>
      <w:r w:rsidR="002605C2" w:rsidRPr="00DD29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будівель та </w:t>
      </w:r>
      <w:r w:rsidR="002605C2" w:rsidRPr="00087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енергозбереження, зокрема в житловому секторі.</w:t>
      </w:r>
      <w:r>
        <w:rPr>
          <w:rFonts w:ascii="Times New Roman" w:eastAsia="Times New Roman" w:hAnsi="Times New Roman"/>
          <w:bCs/>
          <w:color w:val="333300"/>
          <w:sz w:val="24"/>
          <w:szCs w:val="24"/>
          <w:lang w:eastAsia="ru-RU"/>
        </w:rPr>
        <w:t xml:space="preserve"> </w:t>
      </w:r>
    </w:p>
    <w:p w:rsidR="00087642" w:rsidRDefault="00087642" w:rsidP="00087642">
      <w:pPr>
        <w:spacing w:after="0" w:line="240" w:lineRule="auto"/>
        <w:ind w:right="125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333300"/>
          <w:sz w:val="24"/>
          <w:szCs w:val="24"/>
          <w:lang w:eastAsia="ru-RU"/>
        </w:rPr>
        <w:t xml:space="preserve">          </w:t>
      </w:r>
      <w:r w:rsidR="002605C2" w:rsidRPr="00087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Однією з функцій, реалізованих для досягнення зазначеної мети діяльності Фонду є розроблення та виконання програм часткового відшкодування вартості економічно обґрунтованих заходів з </w:t>
      </w:r>
      <w:proofErr w:type="spellStart"/>
      <w:r w:rsidR="002605C2" w:rsidRPr="00087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енергоефективності</w:t>
      </w:r>
      <w:proofErr w:type="spellEnd"/>
      <w:r w:rsidR="002605C2" w:rsidRPr="00087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849B6" w:rsidRPr="00A95198" w:rsidRDefault="00087642" w:rsidP="00A95198">
      <w:pPr>
        <w:spacing w:after="0" w:line="240" w:lineRule="auto"/>
        <w:ind w:right="125"/>
        <w:jc w:val="both"/>
        <w:outlineLvl w:val="1"/>
        <w:rPr>
          <w:rFonts w:ascii="Times New Roman" w:eastAsia="Times New Roman" w:hAnsi="Times New Roman"/>
          <w:bCs/>
          <w:color w:val="3333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2605C2" w:rsidRPr="00087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Першою з таких програм стала</w:t>
      </w:r>
      <w:r w:rsidR="002605C2" w:rsidRPr="00087642">
        <w:rPr>
          <w:rFonts w:ascii="Times New Roman" w:hAnsi="Times New Roman"/>
          <w:sz w:val="24"/>
          <w:szCs w:val="24"/>
        </w:rPr>
        <w:t xml:space="preserve"> Програма підтримки </w:t>
      </w:r>
      <w:proofErr w:type="spellStart"/>
      <w:r w:rsidR="002605C2" w:rsidRPr="00087642">
        <w:rPr>
          <w:rFonts w:ascii="Times New Roman" w:hAnsi="Times New Roman"/>
          <w:sz w:val="24"/>
          <w:szCs w:val="24"/>
        </w:rPr>
        <w:t>енергомодернізації</w:t>
      </w:r>
      <w:proofErr w:type="spellEnd"/>
      <w:r w:rsidR="002605C2" w:rsidRPr="00087642">
        <w:rPr>
          <w:rFonts w:ascii="Times New Roman" w:hAnsi="Times New Roman"/>
          <w:sz w:val="24"/>
          <w:szCs w:val="24"/>
        </w:rPr>
        <w:t xml:space="preserve"> багатоквартирних будинків «ЕНЕРГОДІМ» (далі – Програма «ЕНЕРГОДІМ»), затверджена Наглядовою радою Фонду 16.08.2019</w:t>
      </w:r>
      <w:r w:rsidR="00A95198">
        <w:rPr>
          <w:rFonts w:ascii="Times New Roman" w:hAnsi="Times New Roman"/>
          <w:sz w:val="24"/>
          <w:szCs w:val="24"/>
        </w:rPr>
        <w:t xml:space="preserve"> року.</w:t>
      </w:r>
    </w:p>
    <w:p w:rsidR="00A95198" w:rsidRPr="003E3B0B" w:rsidRDefault="005849B6" w:rsidP="003E3B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3B0B">
        <w:rPr>
          <w:rFonts w:ascii="Times New Roman" w:hAnsi="Times New Roman"/>
          <w:b/>
          <w:sz w:val="24"/>
          <w:szCs w:val="24"/>
        </w:rPr>
        <w:t xml:space="preserve">          </w:t>
      </w:r>
      <w:r w:rsidR="00B55D55" w:rsidRPr="003E3B0B">
        <w:rPr>
          <w:rFonts w:ascii="Times New Roman" w:hAnsi="Times New Roman"/>
          <w:sz w:val="24"/>
          <w:szCs w:val="24"/>
        </w:rPr>
        <w:t xml:space="preserve">Програма підтримки </w:t>
      </w:r>
      <w:proofErr w:type="spellStart"/>
      <w:r w:rsidR="00B55D55" w:rsidRPr="003E3B0B">
        <w:rPr>
          <w:rFonts w:ascii="Times New Roman" w:hAnsi="Times New Roman"/>
          <w:sz w:val="24"/>
          <w:szCs w:val="24"/>
        </w:rPr>
        <w:t>енергомодернізації</w:t>
      </w:r>
      <w:proofErr w:type="spellEnd"/>
      <w:r w:rsidR="00B55D55" w:rsidRPr="003E3B0B">
        <w:rPr>
          <w:rFonts w:ascii="Times New Roman" w:hAnsi="Times New Roman"/>
          <w:sz w:val="24"/>
          <w:szCs w:val="24"/>
        </w:rPr>
        <w:t xml:space="preserve"> багатоквартирних будинків «ЕНЕРГОДІМ» розроблена відповідно до Закону України «Про</w:t>
      </w:r>
      <w:r w:rsidR="00D609C7" w:rsidRPr="003E3B0B">
        <w:rPr>
          <w:rFonts w:ascii="Times New Roman" w:hAnsi="Times New Roman"/>
          <w:sz w:val="24"/>
          <w:szCs w:val="24"/>
        </w:rPr>
        <w:t xml:space="preserve"> Фонд </w:t>
      </w:r>
      <w:proofErr w:type="spellStart"/>
      <w:r w:rsidR="00D609C7" w:rsidRPr="003E3B0B">
        <w:rPr>
          <w:rFonts w:ascii="Times New Roman" w:hAnsi="Times New Roman"/>
          <w:sz w:val="24"/>
          <w:szCs w:val="24"/>
        </w:rPr>
        <w:t>енергоефективності</w:t>
      </w:r>
      <w:proofErr w:type="spellEnd"/>
      <w:r w:rsidR="00D609C7" w:rsidRPr="003E3B0B">
        <w:rPr>
          <w:rFonts w:ascii="Times New Roman" w:hAnsi="Times New Roman"/>
          <w:sz w:val="24"/>
          <w:szCs w:val="24"/>
        </w:rPr>
        <w:t>»</w:t>
      </w:r>
      <w:r w:rsidR="00B55D55" w:rsidRPr="003E3B0B">
        <w:rPr>
          <w:rFonts w:ascii="Times New Roman" w:hAnsi="Times New Roman"/>
          <w:sz w:val="24"/>
          <w:szCs w:val="24"/>
        </w:rPr>
        <w:t xml:space="preserve"> та визначає умови та порядок надання державною установою «Фонд </w:t>
      </w:r>
      <w:proofErr w:type="spellStart"/>
      <w:r w:rsidR="00B55D55" w:rsidRPr="003E3B0B">
        <w:rPr>
          <w:rFonts w:ascii="Times New Roman" w:hAnsi="Times New Roman"/>
          <w:sz w:val="24"/>
          <w:szCs w:val="24"/>
        </w:rPr>
        <w:t>енергое</w:t>
      </w:r>
      <w:r w:rsidR="00D609C7" w:rsidRPr="003E3B0B">
        <w:rPr>
          <w:rFonts w:ascii="Times New Roman" w:hAnsi="Times New Roman"/>
          <w:sz w:val="24"/>
          <w:szCs w:val="24"/>
        </w:rPr>
        <w:t>фективності</w:t>
      </w:r>
      <w:proofErr w:type="spellEnd"/>
      <w:r w:rsidR="00D609C7" w:rsidRPr="003E3B0B">
        <w:rPr>
          <w:rFonts w:ascii="Times New Roman" w:hAnsi="Times New Roman"/>
          <w:sz w:val="24"/>
          <w:szCs w:val="24"/>
        </w:rPr>
        <w:t xml:space="preserve">» грантів </w:t>
      </w:r>
      <w:r w:rsidRPr="003E3B0B">
        <w:rPr>
          <w:rFonts w:ascii="Times New Roman" w:hAnsi="Times New Roman"/>
          <w:sz w:val="24"/>
          <w:szCs w:val="24"/>
        </w:rPr>
        <w:t>для часткового відшкодування п</w:t>
      </w:r>
      <w:r w:rsidR="00B55D55" w:rsidRPr="003E3B0B">
        <w:rPr>
          <w:rFonts w:ascii="Times New Roman" w:hAnsi="Times New Roman"/>
          <w:sz w:val="24"/>
          <w:szCs w:val="24"/>
        </w:rPr>
        <w:t>рийнятних вит</w:t>
      </w:r>
      <w:r w:rsidR="00D609C7" w:rsidRPr="003E3B0B">
        <w:rPr>
          <w:rFonts w:ascii="Times New Roman" w:hAnsi="Times New Roman"/>
          <w:sz w:val="24"/>
          <w:szCs w:val="24"/>
        </w:rPr>
        <w:t>рат, пов’язаних із здійсненням з</w:t>
      </w:r>
      <w:r w:rsidR="00A95198" w:rsidRPr="003E3B0B">
        <w:rPr>
          <w:rFonts w:ascii="Times New Roman" w:hAnsi="Times New Roman"/>
          <w:sz w:val="24"/>
          <w:szCs w:val="24"/>
        </w:rPr>
        <w:t xml:space="preserve">аходів з </w:t>
      </w:r>
      <w:proofErr w:type="spellStart"/>
      <w:r w:rsidR="00A95198" w:rsidRPr="003E3B0B">
        <w:rPr>
          <w:rFonts w:ascii="Times New Roman" w:hAnsi="Times New Roman"/>
          <w:sz w:val="24"/>
          <w:szCs w:val="24"/>
        </w:rPr>
        <w:t>енергоефективності</w:t>
      </w:r>
      <w:proofErr w:type="spellEnd"/>
      <w:r w:rsidR="00A95198" w:rsidRPr="003E3B0B">
        <w:rPr>
          <w:rFonts w:ascii="Times New Roman" w:hAnsi="Times New Roman"/>
          <w:sz w:val="24"/>
          <w:szCs w:val="24"/>
        </w:rPr>
        <w:t>.</w:t>
      </w:r>
    </w:p>
    <w:p w:rsidR="00A95198" w:rsidRPr="003E3B0B" w:rsidRDefault="00A95198" w:rsidP="003E3B0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E3B0B">
        <w:rPr>
          <w:rFonts w:ascii="Times New Roman" w:hAnsi="Times New Roman"/>
          <w:sz w:val="24"/>
          <w:szCs w:val="24"/>
        </w:rPr>
        <w:t xml:space="preserve">          </w:t>
      </w:r>
      <w:r w:rsidR="00330F08" w:rsidRPr="003E3B0B">
        <w:rPr>
          <w:rFonts w:ascii="Times New Roman" w:eastAsia="Times New Roman" w:hAnsi="Times New Roman"/>
          <w:sz w:val="24"/>
          <w:szCs w:val="24"/>
          <w:lang w:eastAsia="ru-RU"/>
        </w:rPr>
        <w:t>У рамках Фонду діє Програма «</w:t>
      </w:r>
      <w:proofErr w:type="spellStart"/>
      <w:r w:rsidR="00330F08" w:rsidRPr="003E3B0B">
        <w:rPr>
          <w:rFonts w:ascii="Times New Roman" w:eastAsia="Times New Roman" w:hAnsi="Times New Roman"/>
          <w:sz w:val="24"/>
          <w:szCs w:val="24"/>
          <w:lang w:eastAsia="ru-RU"/>
        </w:rPr>
        <w:t>Енергодім</w:t>
      </w:r>
      <w:proofErr w:type="spellEnd"/>
      <w:r w:rsidR="00330F08" w:rsidRPr="003E3B0B">
        <w:rPr>
          <w:rFonts w:ascii="Times New Roman" w:eastAsia="Times New Roman" w:hAnsi="Times New Roman"/>
          <w:sz w:val="24"/>
          <w:szCs w:val="24"/>
          <w:lang w:eastAsia="ru-RU"/>
        </w:rPr>
        <w:t xml:space="preserve">», завдяки якій в багатоквартирних будинках можуть бути реалізовані проекти з модернізації інженерних систем (Пакет «А») та проведено комплексну модернізацію, включаючи модернізацію інженерних систем та утеплення </w:t>
      </w:r>
      <w:proofErr w:type="spellStart"/>
      <w:r w:rsidR="00330F08" w:rsidRPr="003E3B0B">
        <w:rPr>
          <w:rFonts w:ascii="Times New Roman" w:eastAsia="Times New Roman" w:hAnsi="Times New Roman"/>
          <w:sz w:val="24"/>
          <w:szCs w:val="24"/>
          <w:lang w:eastAsia="ru-RU"/>
        </w:rPr>
        <w:t>огороджуючих</w:t>
      </w:r>
      <w:proofErr w:type="spellEnd"/>
      <w:r w:rsidR="00330F08" w:rsidRPr="003E3B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конструкцій (Пакет «Б»). </w:t>
      </w:r>
    </w:p>
    <w:p w:rsidR="00330F08" w:rsidRPr="003E3B0B" w:rsidRDefault="00A95198" w:rsidP="003E3B0B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3B0B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330F08" w:rsidRPr="003E3B0B">
        <w:rPr>
          <w:rFonts w:ascii="Times New Roman" w:eastAsia="Times New Roman" w:hAnsi="Times New Roman"/>
          <w:sz w:val="24"/>
          <w:szCs w:val="24"/>
          <w:lang w:eastAsia="ru-RU"/>
        </w:rPr>
        <w:t>Багатоквартирні будинки, в яких створено ОСББ, можуть отримати до 60% відшкодування вартості реалізованого проекту за Пакетом «А», та до 70% за Пакетом «Б» програми «</w:t>
      </w:r>
      <w:proofErr w:type="spellStart"/>
      <w:r w:rsidR="00330F08" w:rsidRPr="003E3B0B">
        <w:rPr>
          <w:rFonts w:ascii="Times New Roman" w:eastAsia="Times New Roman" w:hAnsi="Times New Roman"/>
          <w:sz w:val="24"/>
          <w:szCs w:val="24"/>
          <w:lang w:eastAsia="ru-RU"/>
        </w:rPr>
        <w:t>Енергодім</w:t>
      </w:r>
      <w:proofErr w:type="spellEnd"/>
      <w:r w:rsidR="00330F08" w:rsidRPr="003E3B0B">
        <w:rPr>
          <w:rFonts w:ascii="Times New Roman" w:eastAsia="Times New Roman" w:hAnsi="Times New Roman"/>
          <w:sz w:val="24"/>
          <w:szCs w:val="24"/>
          <w:lang w:eastAsia="ru-RU"/>
        </w:rPr>
        <w:t xml:space="preserve">» Фонду. </w:t>
      </w:r>
    </w:p>
    <w:p w:rsidR="00FD2489" w:rsidRPr="00FD2489" w:rsidRDefault="00FD2489" w:rsidP="00FD2489">
      <w:pPr>
        <w:pStyle w:val="a7"/>
        <w:spacing w:before="0" w:beforeAutospacing="0" w:after="0"/>
        <w:jc w:val="both"/>
        <w:rPr>
          <w:lang w:val="uk-UA"/>
        </w:rPr>
      </w:pPr>
      <w:r>
        <w:rPr>
          <w:szCs w:val="28"/>
          <w:lang w:val="uk-UA"/>
        </w:rPr>
        <w:t xml:space="preserve">          </w:t>
      </w:r>
      <w:r w:rsidRPr="00FD2489">
        <w:rPr>
          <w:szCs w:val="28"/>
          <w:lang w:val="uk-UA"/>
        </w:rPr>
        <w:t>При цьому під час впровадження проекту та до отримання від Фонду відшкодування вартості заходів з його реалізації ОСББ нестиме витрати на їх фінансування, залучаючи на це кредитні кошти.</w:t>
      </w:r>
    </w:p>
    <w:p w:rsidR="00FD2489" w:rsidRPr="00FD2489" w:rsidRDefault="00FD2489" w:rsidP="00FD2489">
      <w:pPr>
        <w:pStyle w:val="a7"/>
        <w:spacing w:before="0" w:beforeAutospacing="0"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Pr="00FD2489">
        <w:rPr>
          <w:szCs w:val="28"/>
          <w:lang w:val="uk-UA"/>
        </w:rPr>
        <w:t xml:space="preserve">Високий розмір відшкодування Фондом вартості заходів з </w:t>
      </w:r>
      <w:proofErr w:type="spellStart"/>
      <w:r w:rsidRPr="00FD2489">
        <w:rPr>
          <w:szCs w:val="28"/>
          <w:lang w:val="uk-UA"/>
        </w:rPr>
        <w:t>енергоефективності</w:t>
      </w:r>
      <w:proofErr w:type="spellEnd"/>
      <w:r w:rsidRPr="00FD2489">
        <w:rPr>
          <w:szCs w:val="28"/>
          <w:lang w:val="uk-UA"/>
        </w:rPr>
        <w:t xml:space="preserve"> може стимулювати ОСББ до проведення </w:t>
      </w:r>
      <w:proofErr w:type="spellStart"/>
      <w:r w:rsidRPr="00FD2489">
        <w:rPr>
          <w:szCs w:val="28"/>
          <w:lang w:val="uk-UA"/>
        </w:rPr>
        <w:t>енергомодернізації</w:t>
      </w:r>
      <w:proofErr w:type="spellEnd"/>
      <w:r w:rsidRPr="00FD2489">
        <w:rPr>
          <w:szCs w:val="28"/>
          <w:lang w:val="uk-UA"/>
        </w:rPr>
        <w:t xml:space="preserve"> своїх будинків. </w:t>
      </w:r>
    </w:p>
    <w:p w:rsidR="00FD2489" w:rsidRPr="001B11F9" w:rsidRDefault="00FD2489" w:rsidP="001B11F9">
      <w:pPr>
        <w:pStyle w:val="a7"/>
        <w:spacing w:before="0" w:beforeAutospacing="0" w:after="0"/>
        <w:jc w:val="both"/>
        <w:rPr>
          <w:color w:val="000000"/>
          <w:lang w:val="uk-UA"/>
        </w:rPr>
      </w:pPr>
    </w:p>
    <w:p w:rsidR="000D72B7" w:rsidRDefault="000D72B7" w:rsidP="000D72B7">
      <w:pPr>
        <w:pStyle w:val="a7"/>
        <w:spacing w:before="0" w:beforeAutospacing="0" w:after="0"/>
        <w:ind w:left="360" w:firstLine="540"/>
        <w:jc w:val="center"/>
        <w:rPr>
          <w:b/>
          <w:color w:val="000000"/>
          <w:lang w:val="uk-UA"/>
        </w:rPr>
      </w:pPr>
      <w:r w:rsidRPr="00AD09EA">
        <w:rPr>
          <w:b/>
          <w:bCs/>
          <w:lang w:val="uk-UA"/>
        </w:rPr>
        <w:t xml:space="preserve">2.  </w:t>
      </w:r>
      <w:r>
        <w:rPr>
          <w:b/>
          <w:color w:val="000000"/>
          <w:lang w:val="uk-UA"/>
        </w:rPr>
        <w:t>В</w:t>
      </w:r>
      <w:r w:rsidRPr="00AD09EA">
        <w:rPr>
          <w:b/>
          <w:color w:val="000000"/>
          <w:lang w:val="uk-UA"/>
        </w:rPr>
        <w:t xml:space="preserve">ирішення </w:t>
      </w:r>
      <w:r>
        <w:rPr>
          <w:b/>
          <w:color w:val="000000"/>
          <w:lang w:val="uk-UA"/>
        </w:rPr>
        <w:t>проблем на які</w:t>
      </w:r>
      <w:r w:rsidRPr="00AD09EA">
        <w:rPr>
          <w:b/>
          <w:color w:val="000000"/>
          <w:lang w:val="uk-UA"/>
        </w:rPr>
        <w:t xml:space="preserve"> спрямована Програма.</w:t>
      </w:r>
    </w:p>
    <w:p w:rsidR="001B11F9" w:rsidRPr="00554B0C" w:rsidRDefault="001B11F9" w:rsidP="000D72B7">
      <w:pPr>
        <w:pStyle w:val="a7"/>
        <w:spacing w:before="0" w:beforeAutospacing="0" w:after="0"/>
        <w:ind w:left="360" w:firstLine="540"/>
        <w:jc w:val="center"/>
        <w:rPr>
          <w:b/>
          <w:color w:val="000000"/>
          <w:lang w:val="uk-UA"/>
        </w:rPr>
      </w:pPr>
    </w:p>
    <w:p w:rsidR="000D72B7" w:rsidRPr="00FD2489" w:rsidRDefault="000D72B7" w:rsidP="00FD2489">
      <w:pPr>
        <w:pStyle w:val="a9"/>
        <w:rPr>
          <w:bCs/>
          <w:color w:val="000000"/>
          <w:sz w:val="24"/>
          <w:szCs w:val="24"/>
          <w:lang w:eastAsia="uk-UA"/>
        </w:rPr>
      </w:pPr>
      <w:r w:rsidRPr="00AD09E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FD2489">
        <w:rPr>
          <w:sz w:val="24"/>
          <w:szCs w:val="24"/>
        </w:rPr>
        <w:t xml:space="preserve">Зростання цін на енергоресурси не зможе витримати бюджет більшості мешканців багатоквартирних будинків. І саме вони – безпосередні власники житла, у першу чергу, повинні бути зацікавлені у впровадженні </w:t>
      </w:r>
      <w:proofErr w:type="spellStart"/>
      <w:r w:rsidRPr="00FD2489">
        <w:rPr>
          <w:sz w:val="24"/>
          <w:szCs w:val="24"/>
        </w:rPr>
        <w:t>енергоефективних</w:t>
      </w:r>
      <w:proofErr w:type="spellEnd"/>
      <w:r w:rsidRPr="00FD2489">
        <w:rPr>
          <w:sz w:val="24"/>
          <w:szCs w:val="24"/>
        </w:rPr>
        <w:t xml:space="preserve"> заходів у багатоквартирному житловому фонді, оскільки результатом цього стане економія їх власних бюджетів.</w:t>
      </w:r>
    </w:p>
    <w:p w:rsidR="000D72B7" w:rsidRPr="00D76E2B" w:rsidRDefault="000D72B7" w:rsidP="00FD2489">
      <w:pPr>
        <w:pStyle w:val="a9"/>
        <w:tabs>
          <w:tab w:val="left" w:pos="5103"/>
        </w:tabs>
        <w:rPr>
          <w:sz w:val="24"/>
          <w:szCs w:val="24"/>
        </w:rPr>
      </w:pPr>
      <w:r w:rsidRPr="00D76E2B">
        <w:rPr>
          <w:sz w:val="24"/>
          <w:szCs w:val="24"/>
        </w:rPr>
        <w:t xml:space="preserve">          Реальні кроки у цьому напрямі можуть зробити лише організовані власники житла – </w:t>
      </w:r>
      <w:r w:rsidRPr="00D76E2B">
        <w:rPr>
          <w:color w:val="000000"/>
          <w:sz w:val="24"/>
          <w:szCs w:val="24"/>
          <w:lang w:eastAsia="uk-UA"/>
        </w:rPr>
        <w:t>об’єднання співвласників багатоквартирних будинків</w:t>
      </w:r>
      <w:r w:rsidRPr="00D76E2B">
        <w:rPr>
          <w:sz w:val="24"/>
          <w:szCs w:val="24"/>
        </w:rPr>
        <w:t>.</w:t>
      </w:r>
    </w:p>
    <w:p w:rsidR="00FD2489" w:rsidRPr="00FD2489" w:rsidRDefault="000D72B7" w:rsidP="00FD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489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FD2489" w:rsidRPr="00FD2489">
        <w:rPr>
          <w:rFonts w:ascii="Times New Roman" w:hAnsi="Times New Roman"/>
          <w:sz w:val="24"/>
          <w:szCs w:val="24"/>
        </w:rPr>
        <w:t xml:space="preserve">Проте, ОСББ не мають достатніх фінансових ресурсів для впровадження комплексу </w:t>
      </w:r>
      <w:proofErr w:type="spellStart"/>
      <w:r w:rsidR="00FD2489" w:rsidRPr="00FD2489">
        <w:rPr>
          <w:rFonts w:ascii="Times New Roman" w:hAnsi="Times New Roman"/>
          <w:sz w:val="24"/>
          <w:szCs w:val="24"/>
        </w:rPr>
        <w:t>енергоефективних</w:t>
      </w:r>
      <w:proofErr w:type="spellEnd"/>
      <w:r w:rsidR="00FD2489" w:rsidRPr="00FD2489">
        <w:rPr>
          <w:rFonts w:ascii="Times New Roman" w:hAnsi="Times New Roman"/>
          <w:sz w:val="24"/>
          <w:szCs w:val="24"/>
        </w:rPr>
        <w:t xml:space="preserve"> заходів, а можливості бюджетного фінансування досить обмежені. </w:t>
      </w:r>
    </w:p>
    <w:p w:rsidR="008E026C" w:rsidRDefault="008E026C" w:rsidP="008E026C">
      <w:pPr>
        <w:pStyle w:val="a7"/>
        <w:widowControl w:val="0"/>
        <w:shd w:val="clear" w:color="auto" w:fill="FFFFFF"/>
        <w:spacing w:before="0" w:beforeAutospacing="0" w:after="0"/>
        <w:jc w:val="both"/>
        <w:rPr>
          <w:rFonts w:eastAsia="Times New Roman"/>
          <w:color w:val="000000"/>
          <w:lang w:val="uk-UA" w:eastAsia="uk-UA"/>
        </w:rPr>
      </w:pPr>
      <w:r>
        <w:rPr>
          <w:lang w:val="uk-UA" w:eastAsia="en-US"/>
        </w:rPr>
        <w:t xml:space="preserve">          </w:t>
      </w:r>
      <w:r w:rsidRPr="008E026C">
        <w:rPr>
          <w:lang w:val="uk-UA"/>
        </w:rPr>
        <w:t xml:space="preserve">Тому для </w:t>
      </w:r>
      <w:r>
        <w:rPr>
          <w:lang w:val="uk-UA"/>
        </w:rPr>
        <w:t>в</w:t>
      </w:r>
      <w:r w:rsidRPr="003848F0">
        <w:rPr>
          <w:lang w:val="uk-UA"/>
        </w:rPr>
        <w:t xml:space="preserve">провадження проектів з підвищення </w:t>
      </w:r>
      <w:proofErr w:type="spellStart"/>
      <w:r w:rsidRPr="003848F0">
        <w:rPr>
          <w:lang w:val="uk-UA"/>
        </w:rPr>
        <w:t>енергоефективності</w:t>
      </w:r>
      <w:proofErr w:type="spellEnd"/>
      <w:r w:rsidRPr="003848F0">
        <w:rPr>
          <w:lang w:val="uk-UA"/>
        </w:rPr>
        <w:t xml:space="preserve"> ба</w:t>
      </w:r>
      <w:r>
        <w:rPr>
          <w:lang w:val="uk-UA"/>
        </w:rPr>
        <w:t xml:space="preserve">гатоквартирних будинків, що </w:t>
      </w:r>
      <w:r w:rsidRPr="003848F0">
        <w:rPr>
          <w:lang w:val="uk-UA"/>
        </w:rPr>
        <w:t>дозволяє значно скоротити витрати населення</w:t>
      </w:r>
      <w:r>
        <w:rPr>
          <w:lang w:val="uk-UA"/>
        </w:rPr>
        <w:t xml:space="preserve"> на оплату енергоресурсів, а також</w:t>
      </w:r>
      <w:r w:rsidRPr="003848F0">
        <w:rPr>
          <w:lang w:val="uk-UA"/>
        </w:rPr>
        <w:t xml:space="preserve"> підвищити комфорт проживання мешканців, поліпшити зовнішній вигляд будинків та зб</w:t>
      </w:r>
      <w:r>
        <w:rPr>
          <w:lang w:val="uk-UA"/>
        </w:rPr>
        <w:t xml:space="preserve">ільшити терміни їх </w:t>
      </w:r>
      <w:r w:rsidR="00D9576E">
        <w:rPr>
          <w:lang w:val="uk-UA"/>
        </w:rPr>
        <w:t>експлуатації</w:t>
      </w:r>
      <w:r w:rsidR="001B11F9">
        <w:rPr>
          <w:lang w:val="uk-UA"/>
        </w:rPr>
        <w:t xml:space="preserve"> і </w:t>
      </w:r>
      <w:r>
        <w:rPr>
          <w:lang w:val="uk-UA"/>
        </w:rPr>
        <w:t>розроблена</w:t>
      </w:r>
      <w:r w:rsidRPr="003848F0">
        <w:rPr>
          <w:lang w:val="uk-UA"/>
        </w:rPr>
        <w:t xml:space="preserve"> </w:t>
      </w:r>
      <w:r w:rsidRPr="008E026C">
        <w:rPr>
          <w:lang w:val="uk-UA"/>
        </w:rPr>
        <w:t>Місцева Програма</w:t>
      </w:r>
      <w:r w:rsidRPr="008E026C">
        <w:rPr>
          <w:rFonts w:eastAsia="Times New Roman"/>
          <w:color w:val="000000"/>
          <w:lang w:val="uk-UA" w:eastAsia="uk-UA"/>
        </w:rPr>
        <w:t xml:space="preserve"> «ЕНЕРГОДІМ» м. Первомайський  на 2023 рі</w:t>
      </w:r>
      <w:r>
        <w:rPr>
          <w:rFonts w:eastAsia="Times New Roman"/>
          <w:color w:val="000000"/>
          <w:lang w:val="uk-UA" w:eastAsia="uk-UA"/>
        </w:rPr>
        <w:t xml:space="preserve">к. </w:t>
      </w:r>
    </w:p>
    <w:p w:rsidR="00FD2489" w:rsidRPr="008E026C" w:rsidRDefault="008E026C" w:rsidP="008E026C">
      <w:pPr>
        <w:pStyle w:val="a7"/>
        <w:widowControl w:val="0"/>
        <w:shd w:val="clear" w:color="auto" w:fill="FFFFFF"/>
        <w:spacing w:before="0" w:beforeAutospacing="0" w:after="0"/>
        <w:jc w:val="both"/>
        <w:rPr>
          <w:b/>
          <w:color w:val="000000"/>
          <w:lang w:val="uk-UA"/>
        </w:rPr>
      </w:pPr>
      <w:r>
        <w:rPr>
          <w:rFonts w:eastAsia="Times New Roman"/>
          <w:color w:val="000000"/>
          <w:lang w:val="uk-UA" w:eastAsia="uk-UA"/>
        </w:rPr>
        <w:t xml:space="preserve">          </w:t>
      </w:r>
      <w:r w:rsidR="00FD2489" w:rsidRPr="008E026C">
        <w:rPr>
          <w:lang w:val="uk-UA"/>
        </w:rPr>
        <w:t>Місцева Програма</w:t>
      </w:r>
      <w:r w:rsidR="00FD2489" w:rsidRPr="008E026C">
        <w:rPr>
          <w:rFonts w:eastAsia="Times New Roman"/>
          <w:color w:val="000000"/>
          <w:lang w:val="uk-UA" w:eastAsia="uk-UA"/>
        </w:rPr>
        <w:t xml:space="preserve"> «ЕНЕРГОДІМ» м. Первомайський  на 2023 рік</w:t>
      </w:r>
      <w:r w:rsidR="00FD2489" w:rsidRPr="008E026C">
        <w:rPr>
          <w:rStyle w:val="a6"/>
          <w:rFonts w:eastAsia="Times New Roman"/>
          <w:bCs w:val="0"/>
          <w:color w:val="000000"/>
          <w:lang w:val="uk-UA" w:eastAsia="uk-UA"/>
        </w:rPr>
        <w:t xml:space="preserve"> </w:t>
      </w:r>
      <w:r w:rsidR="00FD2489" w:rsidRPr="008E026C">
        <w:rPr>
          <w:lang w:val="uk-UA"/>
        </w:rPr>
        <w:t>розроблена на підставі Законів України  «Про місцеве самоврядування в Україні», «Про особливості здійснення права власності багатоквартирному будинку», «Про об’єднання співвласників багатоквартирного будинку», «Про енергозбереження»,</w:t>
      </w:r>
      <w:r w:rsidR="00470573">
        <w:fldChar w:fldCharType="begin"/>
      </w:r>
      <w:r w:rsidR="00470573">
        <w:instrText>HYPERLINK</w:instrText>
      </w:r>
      <w:r w:rsidR="00470573" w:rsidRPr="008947DC">
        <w:rPr>
          <w:lang w:val="uk-UA"/>
        </w:rPr>
        <w:instrText xml:space="preserve"> "</w:instrText>
      </w:r>
      <w:r w:rsidR="00470573">
        <w:instrText>http</w:instrText>
      </w:r>
      <w:r w:rsidR="00470573" w:rsidRPr="008947DC">
        <w:rPr>
          <w:lang w:val="uk-UA"/>
        </w:rPr>
        <w:instrText>://</w:instrText>
      </w:r>
      <w:r w:rsidR="00470573">
        <w:instrText>saee</w:instrText>
      </w:r>
      <w:r w:rsidR="00470573" w:rsidRPr="008947DC">
        <w:rPr>
          <w:lang w:val="uk-UA"/>
        </w:rPr>
        <w:instrText>.</w:instrText>
      </w:r>
      <w:r w:rsidR="00470573">
        <w:instrText>gov</w:instrText>
      </w:r>
      <w:r w:rsidR="00470573" w:rsidRPr="008947DC">
        <w:rPr>
          <w:lang w:val="uk-UA"/>
        </w:rPr>
        <w:instrText>.</w:instrText>
      </w:r>
      <w:r w:rsidR="00470573">
        <w:instrText>ua</w:instrText>
      </w:r>
      <w:r w:rsidR="00470573" w:rsidRPr="008947DC">
        <w:rPr>
          <w:lang w:val="uk-UA"/>
        </w:rPr>
        <w:instrText>/</w:instrText>
      </w:r>
      <w:r w:rsidR="00470573">
        <w:instrText>documents</w:instrText>
      </w:r>
      <w:r w:rsidR="00470573" w:rsidRPr="008947DC">
        <w:rPr>
          <w:lang w:val="uk-UA"/>
        </w:rPr>
        <w:instrText>/</w:instrText>
      </w:r>
      <w:r w:rsidR="00470573">
        <w:instrText>laws</w:instrText>
      </w:r>
      <w:r w:rsidR="00470573" w:rsidRPr="008947DC">
        <w:rPr>
          <w:lang w:val="uk-UA"/>
        </w:rPr>
        <w:instrText>/</w:instrText>
      </w:r>
      <w:r w:rsidR="00470573">
        <w:instrText>Zakon</w:instrText>
      </w:r>
      <w:r w:rsidR="00470573" w:rsidRPr="008947DC">
        <w:rPr>
          <w:lang w:val="uk-UA"/>
        </w:rPr>
        <w:instrText>-5.</w:instrText>
      </w:r>
      <w:r w:rsidR="00470573">
        <w:instrText>doc</w:instrText>
      </w:r>
      <w:r w:rsidR="00470573" w:rsidRPr="008947DC">
        <w:rPr>
          <w:lang w:val="uk-UA"/>
        </w:rPr>
        <w:instrText>"</w:instrText>
      </w:r>
      <w:r w:rsidR="00470573">
        <w:fldChar w:fldCharType="separate"/>
      </w:r>
      <w:r w:rsidR="00FD2489" w:rsidRPr="008E026C">
        <w:rPr>
          <w:rStyle w:val="ab"/>
          <w:rFonts w:eastAsia="Batang"/>
          <w:color w:val="000000" w:themeColor="text1"/>
          <w:u w:val="none"/>
          <w:lang w:val="uk-UA"/>
        </w:rPr>
        <w:t xml:space="preserve"> «Про </w:t>
      </w:r>
      <w:r w:rsidR="00FD2489" w:rsidRPr="008E026C">
        <w:rPr>
          <w:rStyle w:val="ab"/>
          <w:bCs/>
          <w:color w:val="000000" w:themeColor="text1"/>
          <w:u w:val="none"/>
          <w:shd w:val="clear" w:color="auto" w:fill="FFFFFF"/>
          <w:lang w:val="uk-UA"/>
        </w:rPr>
        <w:t xml:space="preserve">Фонд </w:t>
      </w:r>
      <w:proofErr w:type="spellStart"/>
      <w:r w:rsidR="00FD2489" w:rsidRPr="008E026C">
        <w:rPr>
          <w:rStyle w:val="ab"/>
          <w:bCs/>
          <w:color w:val="000000" w:themeColor="text1"/>
          <w:u w:val="none"/>
          <w:shd w:val="clear" w:color="auto" w:fill="FFFFFF"/>
          <w:lang w:val="uk-UA"/>
        </w:rPr>
        <w:t>енергоефективності</w:t>
      </w:r>
      <w:proofErr w:type="spellEnd"/>
      <w:r w:rsidR="00FD2489" w:rsidRPr="008E026C">
        <w:rPr>
          <w:rStyle w:val="ab"/>
          <w:rFonts w:eastAsia="Batang"/>
          <w:color w:val="000000" w:themeColor="text1"/>
          <w:u w:val="none"/>
          <w:lang w:val="uk-UA"/>
        </w:rPr>
        <w:t>»</w:t>
      </w:r>
      <w:r w:rsidR="00470573">
        <w:fldChar w:fldCharType="end"/>
      </w:r>
      <w:r w:rsidR="00FD2489" w:rsidRPr="008E026C">
        <w:rPr>
          <w:color w:val="000000" w:themeColor="text1"/>
          <w:lang w:val="uk-UA"/>
        </w:rPr>
        <w:t xml:space="preserve"> та </w:t>
      </w:r>
      <w:r w:rsidR="00FD2489" w:rsidRPr="008E026C">
        <w:rPr>
          <w:lang w:val="uk-UA"/>
        </w:rPr>
        <w:t xml:space="preserve">Програма підтримки </w:t>
      </w:r>
      <w:proofErr w:type="spellStart"/>
      <w:r w:rsidR="00FD2489" w:rsidRPr="008E026C">
        <w:rPr>
          <w:lang w:val="uk-UA"/>
        </w:rPr>
        <w:t>енергомодернізації</w:t>
      </w:r>
      <w:proofErr w:type="spellEnd"/>
      <w:r w:rsidR="00FD2489" w:rsidRPr="008E026C">
        <w:rPr>
          <w:lang w:val="uk-UA"/>
        </w:rPr>
        <w:t xml:space="preserve"> багатоквартирних будинків «ЕНЕРГОДІМ» (далі – Програма «ЕНЕРГОДІМ»), затверджена Наглядовою радою </w:t>
      </w:r>
      <w:r w:rsidR="00FD2489" w:rsidRPr="00D9576E">
        <w:rPr>
          <w:lang w:val="uk-UA"/>
        </w:rPr>
        <w:t>Фонду 16.08.2019 року.</w:t>
      </w:r>
    </w:p>
    <w:p w:rsidR="00FD2489" w:rsidRPr="00FD2489" w:rsidRDefault="00FD2489" w:rsidP="00FD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489">
        <w:rPr>
          <w:rFonts w:ascii="Times New Roman" w:hAnsi="Times New Roman"/>
          <w:sz w:val="24"/>
          <w:szCs w:val="24"/>
        </w:rPr>
        <w:t xml:space="preserve">          Програма також спрямована на стимулювання  створення та розвитку об’єднань співвласників багатоквартирних будинків, вдосконалення відносин, що виникають у сфері обслуговування житлового фонду об’єднань співвласників багатоквартирних будинків. </w:t>
      </w:r>
    </w:p>
    <w:p w:rsidR="006804F1" w:rsidRDefault="006804F1" w:rsidP="000D72B7">
      <w:pPr>
        <w:pStyle w:val="a7"/>
        <w:widowControl w:val="0"/>
        <w:shd w:val="clear" w:color="auto" w:fill="FFFFFF"/>
        <w:spacing w:before="0" w:beforeAutospacing="0" w:after="0"/>
        <w:jc w:val="both"/>
        <w:rPr>
          <w:color w:val="000000"/>
          <w:lang w:val="uk-UA"/>
        </w:rPr>
      </w:pPr>
    </w:p>
    <w:p w:rsidR="000D72B7" w:rsidRDefault="000D72B7" w:rsidP="000D72B7">
      <w:pPr>
        <w:pStyle w:val="a3"/>
        <w:numPr>
          <w:ilvl w:val="0"/>
          <w:numId w:val="1"/>
        </w:numPr>
        <w:spacing w:after="0"/>
        <w:ind w:left="36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9EA">
        <w:rPr>
          <w:rFonts w:ascii="Times New Roman" w:hAnsi="Times New Roman"/>
          <w:b/>
          <w:bCs/>
          <w:sz w:val="24"/>
          <w:szCs w:val="24"/>
        </w:rPr>
        <w:t>Мета і завдання Програми</w:t>
      </w:r>
    </w:p>
    <w:p w:rsidR="00334565" w:rsidRPr="00AD09EA" w:rsidRDefault="00334565" w:rsidP="00334565">
      <w:pPr>
        <w:pStyle w:val="a3"/>
        <w:spacing w:after="0"/>
        <w:ind w:left="900"/>
        <w:rPr>
          <w:rFonts w:ascii="Times New Roman" w:hAnsi="Times New Roman"/>
          <w:b/>
          <w:bCs/>
          <w:sz w:val="24"/>
          <w:szCs w:val="24"/>
        </w:rPr>
      </w:pPr>
    </w:p>
    <w:p w:rsidR="00A81096" w:rsidRPr="00D76E2B" w:rsidRDefault="00D76E2B" w:rsidP="003740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81096" w:rsidRPr="00D76E2B">
        <w:rPr>
          <w:rFonts w:ascii="Times New Roman" w:hAnsi="Times New Roman"/>
          <w:sz w:val="24"/>
          <w:szCs w:val="24"/>
        </w:rPr>
        <w:t xml:space="preserve">Метою Програми є підвищення рівня </w:t>
      </w:r>
      <w:proofErr w:type="spellStart"/>
      <w:r w:rsidR="00A81096" w:rsidRPr="00D76E2B">
        <w:rPr>
          <w:rFonts w:ascii="Times New Roman" w:hAnsi="Times New Roman"/>
          <w:sz w:val="24"/>
          <w:szCs w:val="24"/>
        </w:rPr>
        <w:t>енергоефективності</w:t>
      </w:r>
      <w:proofErr w:type="spellEnd"/>
      <w:r w:rsidR="00A81096" w:rsidRPr="00D76E2B">
        <w:rPr>
          <w:rFonts w:ascii="Times New Roman" w:hAnsi="Times New Roman"/>
          <w:sz w:val="24"/>
          <w:szCs w:val="24"/>
        </w:rPr>
        <w:t xml:space="preserve"> багатоквартирних будинків шляхом підтримки ініціатив щодо </w:t>
      </w:r>
      <w:r>
        <w:rPr>
          <w:rFonts w:ascii="Times New Roman" w:hAnsi="Times New Roman"/>
          <w:sz w:val="24"/>
          <w:szCs w:val="24"/>
        </w:rPr>
        <w:t xml:space="preserve">впровадження </w:t>
      </w:r>
      <w:proofErr w:type="spellStart"/>
      <w:r>
        <w:rPr>
          <w:rFonts w:ascii="Times New Roman" w:hAnsi="Times New Roman"/>
          <w:sz w:val="24"/>
          <w:szCs w:val="24"/>
        </w:rPr>
        <w:t>енергоефективних</w:t>
      </w:r>
      <w:proofErr w:type="spellEnd"/>
      <w:r w:rsidRPr="00D76E2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заходів у багатоквартирних будинках</w:t>
      </w:r>
    </w:p>
    <w:p w:rsidR="000D72B7" w:rsidRPr="00E37D72" w:rsidRDefault="003740E7" w:rsidP="003740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0D72B7" w:rsidRPr="003740E7">
        <w:rPr>
          <w:rFonts w:ascii="Times New Roman" w:hAnsi="Times New Roman"/>
          <w:bCs/>
          <w:sz w:val="24"/>
          <w:szCs w:val="24"/>
        </w:rPr>
        <w:t>Основною метою Програми</w:t>
      </w:r>
      <w:r w:rsidR="000D72B7" w:rsidRPr="003740E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є стимулювання громадян до створення ОСББ, впровадження </w:t>
      </w:r>
      <w:proofErr w:type="spellStart"/>
      <w:r w:rsidR="000D72B7" w:rsidRPr="003740E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енер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гоефективних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заходів у </w:t>
      </w:r>
      <w:r w:rsidR="00E37D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багатоквартирних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будин</w:t>
      </w:r>
      <w:r w:rsidR="00E37D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ках, </w:t>
      </w:r>
      <w:r w:rsidR="000D72B7" w:rsidRPr="003740E7">
        <w:rPr>
          <w:rFonts w:ascii="Times New Roman" w:hAnsi="Times New Roman"/>
          <w:bCs/>
          <w:sz w:val="24"/>
          <w:szCs w:val="24"/>
        </w:rPr>
        <w:t>економії енергоресурсів та формування відповідального власника житла.</w:t>
      </w:r>
    </w:p>
    <w:p w:rsidR="000D72B7" w:rsidRDefault="00E37D72" w:rsidP="000D7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0D72B7" w:rsidRPr="00AD09EA">
        <w:rPr>
          <w:rFonts w:ascii="Times New Roman" w:hAnsi="Times New Roman"/>
          <w:bCs/>
          <w:sz w:val="24"/>
          <w:szCs w:val="24"/>
        </w:rPr>
        <w:t>Основними завданнями є :</w:t>
      </w:r>
    </w:p>
    <w:p w:rsidR="000D72B7" w:rsidRDefault="000D72B7" w:rsidP="000D7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3F4">
        <w:rPr>
          <w:rFonts w:ascii="Times New Roman" w:hAnsi="Times New Roman"/>
          <w:sz w:val="24"/>
          <w:szCs w:val="24"/>
        </w:rPr>
        <w:t>- Сприяння створенню ОСББ, підтримка н</w:t>
      </w:r>
      <w:r>
        <w:rPr>
          <w:rFonts w:ascii="Times New Roman" w:hAnsi="Times New Roman"/>
          <w:sz w:val="24"/>
          <w:szCs w:val="24"/>
        </w:rPr>
        <w:t>а всіх етапах їх функціонування.</w:t>
      </w:r>
    </w:p>
    <w:p w:rsidR="001B11F9" w:rsidRPr="00225FA0" w:rsidRDefault="001B11F9" w:rsidP="001B11F9">
      <w:pPr>
        <w:pStyle w:val="TableContents"/>
        <w:rPr>
          <w:color w:val="auto"/>
        </w:rPr>
      </w:pPr>
      <w:r w:rsidRPr="00D96B90">
        <w:rPr>
          <w:b/>
          <w:bCs/>
          <w:color w:val="auto"/>
        </w:rPr>
        <w:t xml:space="preserve">- </w:t>
      </w:r>
      <w:r w:rsidRPr="00225FA0">
        <w:rPr>
          <w:color w:val="auto"/>
        </w:rPr>
        <w:t xml:space="preserve">Проведення </w:t>
      </w:r>
      <w:proofErr w:type="spellStart"/>
      <w:r w:rsidRPr="00225FA0">
        <w:rPr>
          <w:color w:val="auto"/>
        </w:rPr>
        <w:t>енергоаудиту</w:t>
      </w:r>
      <w:proofErr w:type="spellEnd"/>
      <w:r w:rsidRPr="00225FA0">
        <w:rPr>
          <w:color w:val="auto"/>
        </w:rPr>
        <w:t xml:space="preserve">  будинків ОСББ.</w:t>
      </w:r>
    </w:p>
    <w:p w:rsidR="000D72B7" w:rsidRPr="001B11F9" w:rsidRDefault="000D72B7" w:rsidP="000D7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11F9">
        <w:rPr>
          <w:rFonts w:ascii="Times New Roman" w:hAnsi="Times New Roman"/>
          <w:bCs/>
          <w:sz w:val="24"/>
          <w:szCs w:val="24"/>
        </w:rPr>
        <w:t xml:space="preserve">- Впровадження </w:t>
      </w:r>
      <w:proofErr w:type="spellStart"/>
      <w:r w:rsidRPr="001B11F9">
        <w:rPr>
          <w:rFonts w:ascii="Times New Roman" w:hAnsi="Times New Roman"/>
          <w:bCs/>
          <w:sz w:val="24"/>
          <w:szCs w:val="24"/>
        </w:rPr>
        <w:t>енергоефективних</w:t>
      </w:r>
      <w:proofErr w:type="spellEnd"/>
      <w:r w:rsidRPr="001B11F9">
        <w:rPr>
          <w:rFonts w:ascii="Times New Roman" w:hAnsi="Times New Roman"/>
          <w:bCs/>
          <w:sz w:val="24"/>
          <w:szCs w:val="24"/>
        </w:rPr>
        <w:t xml:space="preserve"> заходів  у багатоквартирних будинках.</w:t>
      </w:r>
    </w:p>
    <w:p w:rsidR="000D72B7" w:rsidRPr="001B11F9" w:rsidRDefault="000D72B7" w:rsidP="000D7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11F9">
        <w:rPr>
          <w:rFonts w:ascii="Times New Roman" w:hAnsi="Times New Roman"/>
          <w:bCs/>
          <w:sz w:val="24"/>
          <w:szCs w:val="24"/>
        </w:rPr>
        <w:t>- Зменшення споживання енергетичних ресурсів усіма категоріями споживачів через стимулювання впровадження енергозберігаючих заходів.</w:t>
      </w:r>
    </w:p>
    <w:p w:rsidR="000D72B7" w:rsidRPr="00AD09EA" w:rsidRDefault="000D72B7" w:rsidP="000D72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D09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 Перехід до ощадливого енергоспоживання у багатоквартирному житловому фонді;</w:t>
      </w:r>
    </w:p>
    <w:p w:rsidR="001B11F9" w:rsidRPr="00334565" w:rsidRDefault="000D72B7" w:rsidP="003345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09EA">
        <w:rPr>
          <w:rFonts w:ascii="Times New Roman" w:hAnsi="Times New Roman"/>
          <w:bCs/>
          <w:sz w:val="24"/>
          <w:szCs w:val="24"/>
        </w:rPr>
        <w:t>- Популяризація економічних, екологічних та соціальних переваг енергозбереження, підвищення громадського освітнього рівня у цій сфері.</w:t>
      </w:r>
    </w:p>
    <w:p w:rsidR="001B11F9" w:rsidRPr="00E37D72" w:rsidRDefault="001B11F9" w:rsidP="001B11F9">
      <w:pPr>
        <w:pStyle w:val="docdata"/>
        <w:widowControl w:val="0"/>
        <w:shd w:val="clear" w:color="auto" w:fill="FFFFFF"/>
        <w:spacing w:before="0" w:beforeAutospacing="0" w:after="0" w:afterAutospacing="0"/>
        <w:ind w:right="200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</w:t>
      </w:r>
      <w:r w:rsidRPr="001B11F9">
        <w:rPr>
          <w:color w:val="000000"/>
          <w:lang w:val="uk-UA"/>
        </w:rPr>
        <w:t>Програма «</w:t>
      </w:r>
      <w:proofErr w:type="spellStart"/>
      <w:r w:rsidRPr="001B11F9">
        <w:rPr>
          <w:color w:val="000000"/>
          <w:lang w:val="uk-UA"/>
        </w:rPr>
        <w:t>Енергодім</w:t>
      </w:r>
      <w:proofErr w:type="spellEnd"/>
      <w:r w:rsidRPr="001B11F9">
        <w:rPr>
          <w:color w:val="000000"/>
          <w:lang w:val="uk-UA"/>
        </w:rPr>
        <w:t>»</w:t>
      </w:r>
      <w:r w:rsidRPr="00E37D72">
        <w:rPr>
          <w:color w:val="000000"/>
          <w:lang w:val="uk-UA"/>
        </w:rPr>
        <w:t xml:space="preserve"> на даний час є реальним діючим механізмом для розв’язання існуючих проблемних питань із багатоквартирним житловим фондом:</w:t>
      </w:r>
    </w:p>
    <w:p w:rsidR="001B11F9" w:rsidRPr="00E37D72" w:rsidRDefault="001B11F9" w:rsidP="001B11F9">
      <w:pPr>
        <w:pStyle w:val="a7"/>
        <w:widowControl w:val="0"/>
        <w:shd w:val="clear" w:color="auto" w:fill="FFFFFF"/>
        <w:spacing w:before="0" w:beforeAutospacing="0" w:after="0"/>
        <w:jc w:val="both"/>
        <w:rPr>
          <w:color w:val="000000"/>
          <w:lang w:val="uk-UA"/>
        </w:rPr>
      </w:pPr>
      <w:r w:rsidRPr="00E37D72">
        <w:rPr>
          <w:color w:val="000000"/>
          <w:lang w:val="uk-UA"/>
        </w:rPr>
        <w:t xml:space="preserve"> - проведення його </w:t>
      </w:r>
      <w:proofErr w:type="spellStart"/>
      <w:r w:rsidRPr="00E37D72">
        <w:rPr>
          <w:color w:val="000000"/>
          <w:lang w:val="uk-UA"/>
        </w:rPr>
        <w:t>термомодернізації</w:t>
      </w:r>
      <w:proofErr w:type="spellEnd"/>
      <w:r w:rsidRPr="00E37D72">
        <w:rPr>
          <w:color w:val="000000"/>
          <w:lang w:val="uk-UA"/>
        </w:rPr>
        <w:t>, виконання капітальних</w:t>
      </w:r>
      <w:r w:rsidRPr="00E37D72">
        <w:rPr>
          <w:lang w:val="uk-UA"/>
        </w:rPr>
        <w:t xml:space="preserve"> </w:t>
      </w:r>
      <w:r w:rsidRPr="00E37D72">
        <w:rPr>
          <w:color w:val="000000"/>
          <w:lang w:val="uk-UA"/>
        </w:rPr>
        <w:t xml:space="preserve">ремонтів </w:t>
      </w:r>
      <w:proofErr w:type="spellStart"/>
      <w:r w:rsidRPr="00E37D72">
        <w:rPr>
          <w:color w:val="000000"/>
          <w:lang w:val="uk-UA"/>
        </w:rPr>
        <w:t>внутрішньобудинкових</w:t>
      </w:r>
      <w:proofErr w:type="spellEnd"/>
      <w:r w:rsidRPr="00E37D72">
        <w:rPr>
          <w:color w:val="000000"/>
          <w:lang w:val="uk-UA"/>
        </w:rPr>
        <w:t xml:space="preserve"> мереж та </w:t>
      </w:r>
      <w:proofErr w:type="spellStart"/>
      <w:r w:rsidRPr="00E37D72">
        <w:rPr>
          <w:color w:val="000000"/>
          <w:lang w:val="uk-UA"/>
        </w:rPr>
        <w:t>огороджуючих</w:t>
      </w:r>
      <w:proofErr w:type="spellEnd"/>
      <w:r w:rsidRPr="00E37D72">
        <w:rPr>
          <w:color w:val="000000"/>
          <w:lang w:val="uk-UA"/>
        </w:rPr>
        <w:t xml:space="preserve"> конструкцій, що призведе до зниження витрат енергетичних ресурсів та, відповідно,заощадить кошти сімейних бюджетів на оплату комунальних послуг.</w:t>
      </w:r>
    </w:p>
    <w:p w:rsidR="000D72B7" w:rsidRPr="003350A3" w:rsidRDefault="000D72B7" w:rsidP="003350A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D09EA">
        <w:rPr>
          <w:rFonts w:ascii="Times New Roman" w:hAnsi="Times New Roman"/>
          <w:sz w:val="24"/>
          <w:szCs w:val="24"/>
        </w:rPr>
        <w:t xml:space="preserve">     </w:t>
      </w:r>
      <w:r w:rsidR="00334565">
        <w:rPr>
          <w:rFonts w:ascii="Times New Roman" w:hAnsi="Times New Roman"/>
          <w:sz w:val="24"/>
          <w:szCs w:val="24"/>
        </w:rPr>
        <w:t xml:space="preserve">     </w:t>
      </w:r>
      <w:r w:rsidRPr="00AD09EA">
        <w:rPr>
          <w:rFonts w:ascii="Times New Roman" w:hAnsi="Times New Roman"/>
          <w:sz w:val="24"/>
          <w:szCs w:val="24"/>
        </w:rPr>
        <w:t>На ви</w:t>
      </w:r>
      <w:r w:rsidR="00E34889">
        <w:rPr>
          <w:rFonts w:ascii="Times New Roman" w:hAnsi="Times New Roman"/>
          <w:sz w:val="24"/>
          <w:szCs w:val="24"/>
        </w:rPr>
        <w:t>конання мети та завдань</w:t>
      </w:r>
      <w:r w:rsidRPr="00AD09EA">
        <w:rPr>
          <w:rFonts w:ascii="Times New Roman" w:hAnsi="Times New Roman"/>
          <w:sz w:val="24"/>
          <w:szCs w:val="24"/>
        </w:rPr>
        <w:t xml:space="preserve"> розроблено заходи щодо виконання </w:t>
      </w:r>
      <w:r w:rsidR="00D76E2B">
        <w:rPr>
          <w:rFonts w:ascii="Times New Roman" w:hAnsi="Times New Roman"/>
          <w:sz w:val="24"/>
          <w:szCs w:val="24"/>
        </w:rPr>
        <w:t>Місцевої</w:t>
      </w:r>
      <w:r w:rsidR="003E3B0B">
        <w:rPr>
          <w:rFonts w:ascii="Times New Roman" w:hAnsi="Times New Roman"/>
          <w:sz w:val="24"/>
          <w:szCs w:val="24"/>
        </w:rPr>
        <w:t xml:space="preserve"> </w:t>
      </w:r>
      <w:r w:rsidRPr="00AD09EA">
        <w:rPr>
          <w:rFonts w:ascii="Times New Roman" w:hAnsi="Times New Roman"/>
          <w:sz w:val="24"/>
          <w:szCs w:val="24"/>
        </w:rPr>
        <w:t xml:space="preserve">Програми </w:t>
      </w:r>
      <w:proofErr w:type="spellStart"/>
      <w:r w:rsidR="00E34889">
        <w:rPr>
          <w:rFonts w:ascii="Times New Roman" w:hAnsi="Times New Roman"/>
          <w:sz w:val="24"/>
          <w:szCs w:val="24"/>
        </w:rPr>
        <w:t>Енергодім</w:t>
      </w:r>
      <w:proofErr w:type="spellEnd"/>
      <w:r w:rsidRPr="00AD09E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</w:t>
      </w:r>
      <w:r w:rsidR="00E3488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Первомайський</w:t>
      </w:r>
      <w:proofErr w:type="spellEnd"/>
      <w:r w:rsidR="00E3488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на 2023 рік</w:t>
      </w:r>
      <w:r w:rsidRPr="00AD09E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(додаток 1).</w:t>
      </w:r>
    </w:p>
    <w:p w:rsidR="000D72B7" w:rsidRPr="00D76E2B" w:rsidRDefault="000D72B7" w:rsidP="00D76E2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E2B">
        <w:rPr>
          <w:rFonts w:ascii="Times New Roman" w:hAnsi="Times New Roman"/>
          <w:b/>
          <w:sz w:val="24"/>
          <w:szCs w:val="24"/>
        </w:rPr>
        <w:t>Фінансування  Програми</w:t>
      </w:r>
    </w:p>
    <w:p w:rsidR="00D76E2B" w:rsidRPr="00D76E2B" w:rsidRDefault="00D76E2B" w:rsidP="00D76E2B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0D72B7" w:rsidRPr="00161D95" w:rsidRDefault="003E3B0B" w:rsidP="0016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</w:t>
      </w:r>
      <w:r w:rsidR="000D72B7" w:rsidRPr="00AD09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Фінансування </w:t>
      </w:r>
      <w:r w:rsidR="00D76E2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місцевої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0D72B7" w:rsidRPr="00AD09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Програми буде здійснюватися за рахунок коштів, що виділяються з місцевого бюджету виходячи з його можливостей на відповідний бюджетний період, та кредитних коштів, залучених ОСББ міста</w:t>
      </w:r>
      <w:r w:rsidR="00161D95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161D95">
        <w:rPr>
          <w:rFonts w:ascii="Times New Roman" w:hAnsi="Times New Roman"/>
          <w:sz w:val="24"/>
          <w:szCs w:val="24"/>
        </w:rPr>
        <w:t xml:space="preserve">коштів створених ОСББ, </w:t>
      </w:r>
      <w:r w:rsidR="000D72B7" w:rsidRPr="00AD09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для впровадження </w:t>
      </w:r>
      <w:proofErr w:type="spellStart"/>
      <w:r w:rsidR="000D72B7" w:rsidRPr="00AD09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енергоефективних</w:t>
      </w:r>
      <w:proofErr w:type="spellEnd"/>
      <w:r w:rsidR="000D72B7" w:rsidRPr="00AD09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заходів у багатоквартирн</w:t>
      </w:r>
      <w:r w:rsidR="00E37D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их житлових будинках.</w:t>
      </w:r>
    </w:p>
    <w:p w:rsidR="00225FA0" w:rsidRPr="00D76E2B" w:rsidRDefault="003350A3" w:rsidP="00D76E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3E3B0B" w:rsidRPr="003E3B0B">
        <w:rPr>
          <w:rFonts w:ascii="Times New Roman" w:hAnsi="Times New Roman"/>
          <w:sz w:val="24"/>
          <w:szCs w:val="24"/>
        </w:rPr>
        <w:t>Міська</w:t>
      </w:r>
      <w:r w:rsidR="003E3B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Програма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Енергодім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</w:t>
      </w:r>
      <w:r w:rsidR="001B11F9" w:rsidRPr="001B11F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1B11F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м.Первомайський</w:t>
      </w:r>
      <w:proofErr w:type="spellEnd"/>
      <w:r w:rsidR="001B11F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на 2023 рік</w:t>
      </w:r>
      <w:r w:rsidR="001B11F9" w:rsidRPr="00AD09E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передбачає часткове </w:t>
      </w:r>
      <w:r w:rsidRPr="003740E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відшкодування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витрат на заходи 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енергоефективності</w:t>
      </w:r>
      <w:proofErr w:type="spellEnd"/>
      <w:r w:rsidR="00AB4FC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334565" w:rsidRDefault="00334565" w:rsidP="000D72B7">
      <w:pPr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AB4FCF" w:rsidRDefault="00AB4FCF" w:rsidP="000D72B7">
      <w:pPr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0D72B7" w:rsidRPr="00AD09EA" w:rsidRDefault="000D72B7" w:rsidP="000D72B7">
      <w:pPr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D09E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>Орієнтовні обсяги фінансування Програми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980"/>
        <w:gridCol w:w="2295"/>
        <w:gridCol w:w="4431"/>
        <w:gridCol w:w="1047"/>
      </w:tblGrid>
      <w:tr w:rsidR="000D72B7" w:rsidRPr="00AD09EA" w:rsidTr="00330F08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7" w:rsidRPr="00AD09EA" w:rsidRDefault="000D72B7" w:rsidP="001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EA"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7" w:rsidRPr="00AD09EA" w:rsidRDefault="000D72B7" w:rsidP="001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EA">
              <w:rPr>
                <w:rFonts w:ascii="Times New Roman" w:hAnsi="Times New Roman"/>
                <w:sz w:val="24"/>
                <w:szCs w:val="24"/>
              </w:rPr>
              <w:t>Загальний обсяг фінансування, тис. грн.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B7" w:rsidRPr="00AD09EA" w:rsidRDefault="000D72B7" w:rsidP="001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EA">
              <w:rPr>
                <w:rFonts w:ascii="Times New Roman" w:hAnsi="Times New Roman"/>
                <w:sz w:val="24"/>
                <w:szCs w:val="24"/>
              </w:rPr>
              <w:t>У тому числі за роками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F08" w:rsidRPr="00AD09EA" w:rsidTr="00844EFD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08" w:rsidRPr="00AD09EA" w:rsidRDefault="00330F08" w:rsidP="00102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08" w:rsidRPr="00AD09EA" w:rsidRDefault="00330F08" w:rsidP="00102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30F08" w:rsidRPr="00853DE1" w:rsidRDefault="00330F08" w:rsidP="00102CA3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/>
                <w:lang w:eastAsia="uk-UA"/>
              </w:rPr>
            </w:pPr>
            <w:r w:rsidRPr="00853DE1">
              <w:rPr>
                <w:rFonts w:ascii="Times New Roman" w:eastAsia="Times New Roman" w:hAnsi="Times New Roman"/>
                <w:lang w:eastAsia="uk-UA"/>
              </w:rPr>
              <w:t>202</w:t>
            </w:r>
            <w:r>
              <w:rPr>
                <w:rFonts w:ascii="Times New Roman" w:eastAsia="Times New Roman" w:hAnsi="Times New Roman"/>
                <w:lang w:eastAsia="uk-UA"/>
              </w:rPr>
              <w:t>3</w:t>
            </w:r>
            <w:r w:rsidRPr="00853DE1">
              <w:rPr>
                <w:rFonts w:ascii="Times New Roman" w:eastAsia="Times New Roman" w:hAnsi="Times New Roman"/>
                <w:lang w:eastAsia="uk-UA"/>
              </w:rPr>
              <w:t xml:space="preserve"> рік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0F08" w:rsidRPr="00853DE1" w:rsidRDefault="00330F08" w:rsidP="00102CA3">
            <w:pPr>
              <w:spacing w:line="15" w:lineRule="atLeast"/>
              <w:jc w:val="center"/>
              <w:textAlignment w:val="baseline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Всього</w:t>
            </w:r>
          </w:p>
        </w:tc>
      </w:tr>
      <w:tr w:rsidR="00330F08" w:rsidRPr="00AD09EA" w:rsidTr="006E3C30">
        <w:trPr>
          <w:trHeight w:val="38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08" w:rsidRPr="00AD09EA" w:rsidRDefault="00330F08" w:rsidP="001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9EA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 бюджет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08" w:rsidRPr="00AD09EA" w:rsidRDefault="00225FA0" w:rsidP="0010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0F0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30F08" w:rsidRPr="00AD09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30F0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30F08" w:rsidRPr="00AD09E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08" w:rsidRPr="00AD09EA" w:rsidRDefault="00330F08" w:rsidP="0033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D09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08" w:rsidRPr="00AD09EA" w:rsidRDefault="00225FA0" w:rsidP="00102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0F08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</w:tbl>
    <w:p w:rsidR="00E34889" w:rsidRDefault="00E34889" w:rsidP="00E3488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E34889" w:rsidRDefault="000D72B7" w:rsidP="00E34889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4889">
        <w:rPr>
          <w:rFonts w:ascii="Times New Roman" w:hAnsi="Times New Roman"/>
          <w:b/>
          <w:sz w:val="24"/>
          <w:szCs w:val="24"/>
        </w:rPr>
        <w:t>Контроль за ходом виконання Програми</w:t>
      </w:r>
    </w:p>
    <w:p w:rsidR="00D76E2B" w:rsidRPr="00E34889" w:rsidRDefault="00D76E2B" w:rsidP="00D76E2B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D72B7" w:rsidRPr="00E34889" w:rsidRDefault="00E34889" w:rsidP="00E348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uk-UA"/>
        </w:rPr>
        <w:t xml:space="preserve">          </w:t>
      </w:r>
      <w:r w:rsidR="000D72B7" w:rsidRPr="00E34889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uk-UA"/>
        </w:rPr>
        <w:t>Контроль за виконанням цієї Програми здійснює виконавчий комітет Первомайської міської ради.</w:t>
      </w:r>
    </w:p>
    <w:p w:rsidR="000D72B7" w:rsidRPr="003350A3" w:rsidRDefault="00E34889" w:rsidP="00E3488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          </w:t>
      </w:r>
      <w:r w:rsidR="000D72B7" w:rsidRPr="00AD09EA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Контроль за цільовим використанням бюджетних коштів, спрямованих на забезпечення виконання Програми, здійснюється</w:t>
      </w:r>
      <w:r w:rsidR="000D72B7" w:rsidRPr="00AD09E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uk-UA"/>
        </w:rPr>
        <w:t xml:space="preserve"> постійною комісією з питань бюджету, фінансів та комунальної власності.</w:t>
      </w:r>
    </w:p>
    <w:p w:rsidR="00D76E2B" w:rsidRDefault="00D76E2B" w:rsidP="000D72B7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6E2B" w:rsidRDefault="00D76E2B" w:rsidP="000D72B7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6E2B" w:rsidRDefault="00D76E2B" w:rsidP="000D72B7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72B7" w:rsidRPr="008859EB" w:rsidRDefault="000D72B7" w:rsidP="00D76E2B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59EB">
        <w:rPr>
          <w:rFonts w:ascii="Times New Roman" w:hAnsi="Times New Roman"/>
          <w:b/>
          <w:sz w:val="24"/>
          <w:szCs w:val="24"/>
          <w:lang w:eastAsia="ru-RU"/>
        </w:rPr>
        <w:t xml:space="preserve">Міський голова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DD316B">
        <w:rPr>
          <w:rFonts w:ascii="Times New Roman" w:hAnsi="Times New Roman"/>
          <w:b/>
          <w:sz w:val="24"/>
          <w:szCs w:val="24"/>
          <w:lang w:eastAsia="ru-RU"/>
        </w:rPr>
        <w:t xml:space="preserve">                  Микола БАКШЕЄВ</w:t>
      </w:r>
    </w:p>
    <w:p w:rsidR="00A81096" w:rsidRDefault="00A81096" w:rsidP="000D72B7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72B7" w:rsidRPr="00A81096" w:rsidRDefault="000D72B7" w:rsidP="00A81096">
      <w:pPr>
        <w:rPr>
          <w:rFonts w:ascii="Times New Roman" w:hAnsi="Times New Roman"/>
          <w:sz w:val="24"/>
          <w:szCs w:val="24"/>
          <w:lang w:eastAsia="ru-RU"/>
        </w:rPr>
        <w:sectPr w:rsidR="000D72B7" w:rsidRPr="00A81096" w:rsidSect="00E75C16">
          <w:headerReference w:type="even" r:id="rId8"/>
          <w:headerReference w:type="default" r:id="rId9"/>
          <w:pgSz w:w="11906" w:h="16838"/>
          <w:pgMar w:top="851" w:right="849" w:bottom="851" w:left="1418" w:header="709" w:footer="709" w:gutter="0"/>
          <w:pgNumType w:start="1"/>
          <w:cols w:space="708"/>
          <w:titlePg/>
          <w:docGrid w:linePitch="360"/>
        </w:sectPr>
      </w:pPr>
    </w:p>
    <w:p w:rsidR="000D72B7" w:rsidRDefault="000D72B7" w:rsidP="000D72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72B7" w:rsidRPr="00041F83" w:rsidRDefault="000D72B7" w:rsidP="000D72B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041F83">
        <w:rPr>
          <w:rFonts w:ascii="Times New Roman" w:hAnsi="Times New Roman"/>
          <w:sz w:val="18"/>
          <w:szCs w:val="18"/>
          <w:lang w:eastAsia="ru-RU"/>
        </w:rPr>
        <w:t>Додаток № 1</w:t>
      </w:r>
    </w:p>
    <w:p w:rsidR="000D72B7" w:rsidRPr="00041F83" w:rsidRDefault="000D72B7" w:rsidP="000D72B7">
      <w:pPr>
        <w:shd w:val="clear" w:color="auto" w:fill="FFFFFF"/>
        <w:spacing w:after="0" w:line="240" w:lineRule="auto"/>
        <w:ind w:left="448" w:right="448"/>
        <w:jc w:val="center"/>
        <w:textAlignment w:val="baseline"/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</w:pPr>
      <w:r w:rsidRPr="00041F83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Напрями діяльності та заходи </w:t>
      </w:r>
      <w:r w:rsidR="00D96B90"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>Програми «</w:t>
      </w:r>
      <w:proofErr w:type="spellStart"/>
      <w:r w:rsidR="00D96B90"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>Енергодім</w:t>
      </w:r>
      <w:proofErr w:type="spellEnd"/>
      <w:r w:rsidR="00A417C7"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 xml:space="preserve"> </w:t>
      </w:r>
      <w:proofErr w:type="spellStart"/>
      <w:r w:rsidR="00A417C7">
        <w:rPr>
          <w:rFonts w:ascii="Times New Roman" w:eastAsia="Times New Roman" w:hAnsi="Times New Roman"/>
          <w:b/>
          <w:color w:val="000000"/>
          <w:sz w:val="18"/>
          <w:szCs w:val="18"/>
          <w:lang w:eastAsia="uk-UA"/>
        </w:rPr>
        <w:t>м.Первомайський</w:t>
      </w:r>
      <w:proofErr w:type="spellEnd"/>
      <w:r w:rsidR="00A417C7">
        <w:rPr>
          <w:rFonts w:ascii="Times New Roman" w:eastAsia="Times New Roman" w:hAnsi="Times New Roman"/>
          <w:b/>
          <w:color w:val="000000"/>
          <w:sz w:val="18"/>
          <w:szCs w:val="18"/>
          <w:lang w:eastAsia="uk-UA"/>
        </w:rPr>
        <w:t xml:space="preserve">  на 2023 рік</w:t>
      </w:r>
      <w:r w:rsidR="00D96B90">
        <w:rPr>
          <w:rFonts w:ascii="Times New Roman" w:eastAsia="Times New Roman" w:hAnsi="Times New Roman"/>
          <w:b/>
          <w:color w:val="000000"/>
          <w:sz w:val="18"/>
          <w:szCs w:val="18"/>
          <w:lang w:eastAsia="uk-UA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2430"/>
        <w:gridCol w:w="4823"/>
        <w:gridCol w:w="1559"/>
        <w:gridCol w:w="1559"/>
        <w:gridCol w:w="1701"/>
        <w:gridCol w:w="1134"/>
        <w:gridCol w:w="1701"/>
      </w:tblGrid>
      <w:tr w:rsidR="00680CFC" w:rsidRPr="00041F83" w:rsidTr="00680CFC">
        <w:trPr>
          <w:trHeight w:val="789"/>
        </w:trPr>
        <w:tc>
          <w:tcPr>
            <w:tcW w:w="510" w:type="dxa"/>
            <w:vMerge w:val="restart"/>
            <w:vAlign w:val="center"/>
          </w:tcPr>
          <w:p w:rsidR="000D72B7" w:rsidRPr="00041F83" w:rsidRDefault="000D72B7" w:rsidP="00102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0D72B7" w:rsidRPr="00041F83" w:rsidRDefault="000D72B7" w:rsidP="00102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з/п</w:t>
            </w:r>
          </w:p>
        </w:tc>
        <w:tc>
          <w:tcPr>
            <w:tcW w:w="2430" w:type="dxa"/>
            <w:vMerge w:val="restart"/>
            <w:vAlign w:val="center"/>
          </w:tcPr>
          <w:p w:rsidR="000D72B7" w:rsidRPr="00041F83" w:rsidRDefault="000D72B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Назва напрямку діяльності (пріоритетні завдання)</w:t>
            </w:r>
          </w:p>
        </w:tc>
        <w:tc>
          <w:tcPr>
            <w:tcW w:w="4823" w:type="dxa"/>
            <w:vMerge w:val="restart"/>
            <w:vAlign w:val="center"/>
          </w:tcPr>
          <w:p w:rsidR="000D72B7" w:rsidRPr="00041F83" w:rsidRDefault="000D72B7" w:rsidP="00102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Перелік</w:t>
            </w:r>
          </w:p>
          <w:p w:rsidR="000D72B7" w:rsidRPr="00041F83" w:rsidRDefault="000D72B7" w:rsidP="00102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заходів програми</w:t>
            </w:r>
          </w:p>
        </w:tc>
        <w:tc>
          <w:tcPr>
            <w:tcW w:w="1559" w:type="dxa"/>
            <w:vMerge w:val="restart"/>
            <w:vAlign w:val="center"/>
          </w:tcPr>
          <w:p w:rsidR="000D72B7" w:rsidRPr="00041F83" w:rsidRDefault="000D72B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Виконавці</w:t>
            </w:r>
          </w:p>
        </w:tc>
        <w:tc>
          <w:tcPr>
            <w:tcW w:w="1559" w:type="dxa"/>
            <w:vMerge w:val="restart"/>
            <w:vAlign w:val="center"/>
          </w:tcPr>
          <w:p w:rsidR="000D72B7" w:rsidRPr="00041F83" w:rsidRDefault="000D72B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701" w:type="dxa"/>
            <w:vAlign w:val="center"/>
          </w:tcPr>
          <w:p w:rsidR="000D72B7" w:rsidRPr="009A312C" w:rsidRDefault="000D72B7" w:rsidP="00A41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312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Орієнтовані</w:t>
            </w:r>
          </w:p>
          <w:p w:rsidR="000D72B7" w:rsidRPr="00A417C7" w:rsidRDefault="000D72B7" w:rsidP="00680C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312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обсяги фінансування </w:t>
            </w:r>
            <w:r w:rsidRPr="009A312C">
              <w:rPr>
                <w:rFonts w:ascii="Times New Roman CYR" w:hAnsi="Times New Roman CYR" w:cs="Times New Roman CYR"/>
                <w:bCs/>
                <w:sz w:val="18"/>
                <w:szCs w:val="18"/>
              </w:rPr>
              <w:t>(</w:t>
            </w:r>
            <w:proofErr w:type="spellStart"/>
            <w:r w:rsidRPr="009A312C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тис.грн</w:t>
            </w:r>
            <w:proofErr w:type="spellEnd"/>
            <w:r w:rsidRPr="009A312C">
              <w:rPr>
                <w:rFonts w:ascii="Times New Roman CYR" w:hAnsi="Times New Roman CYR" w:cs="Times New Roman CYR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Merge w:val="restart"/>
            <w:vAlign w:val="center"/>
          </w:tcPr>
          <w:p w:rsidR="000D72B7" w:rsidRDefault="000D72B7" w:rsidP="00A41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Всього</w:t>
            </w:r>
          </w:p>
          <w:p w:rsidR="000D72B7" w:rsidRPr="00041F83" w:rsidRDefault="000D72B7" w:rsidP="00A41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A312C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D72B7" w:rsidRPr="00041F83" w:rsidRDefault="000D72B7" w:rsidP="00A417C7">
            <w:pPr>
              <w:spacing w:before="100" w:beforeAutospacing="1" w:after="11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Очікуваний результат</w:t>
            </w:r>
          </w:p>
        </w:tc>
      </w:tr>
      <w:tr w:rsidR="00680CFC" w:rsidRPr="00041F83" w:rsidTr="00680CFC">
        <w:trPr>
          <w:trHeight w:val="225"/>
        </w:trPr>
        <w:tc>
          <w:tcPr>
            <w:tcW w:w="510" w:type="dxa"/>
            <w:vMerge/>
            <w:vAlign w:val="center"/>
          </w:tcPr>
          <w:p w:rsidR="00A417C7" w:rsidRPr="00041F83" w:rsidRDefault="00A417C7" w:rsidP="0010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0" w:type="dxa"/>
            <w:vMerge/>
            <w:vAlign w:val="center"/>
          </w:tcPr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3" w:type="dxa"/>
            <w:vMerge/>
            <w:vAlign w:val="center"/>
          </w:tcPr>
          <w:p w:rsidR="00A417C7" w:rsidRPr="00041F83" w:rsidRDefault="00A417C7" w:rsidP="0010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417C7" w:rsidRPr="009A312C" w:rsidRDefault="00A417C7" w:rsidP="00A417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 рік</w:t>
            </w:r>
          </w:p>
        </w:tc>
        <w:tc>
          <w:tcPr>
            <w:tcW w:w="1134" w:type="dxa"/>
            <w:vMerge/>
            <w:vAlign w:val="center"/>
          </w:tcPr>
          <w:p w:rsidR="00A417C7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417C7" w:rsidRPr="00041F83" w:rsidRDefault="00A417C7" w:rsidP="00102CA3">
            <w:pPr>
              <w:spacing w:before="100" w:beforeAutospacing="1" w:after="119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CFC" w:rsidRPr="00041F83" w:rsidTr="00680CFC">
        <w:trPr>
          <w:trHeight w:val="311"/>
        </w:trPr>
        <w:tc>
          <w:tcPr>
            <w:tcW w:w="510" w:type="dxa"/>
          </w:tcPr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0" w:type="dxa"/>
          </w:tcPr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3" w:type="dxa"/>
          </w:tcPr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</w:tcPr>
          <w:p w:rsidR="00A417C7" w:rsidRPr="00041F83" w:rsidRDefault="00A417C7" w:rsidP="00102CA3">
            <w:pPr>
              <w:spacing w:before="100" w:beforeAutospacing="1" w:after="11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80CFC" w:rsidRPr="00041F83" w:rsidTr="00057B69">
        <w:trPr>
          <w:trHeight w:val="1178"/>
        </w:trPr>
        <w:tc>
          <w:tcPr>
            <w:tcW w:w="510" w:type="dxa"/>
          </w:tcPr>
          <w:p w:rsidR="00A417C7" w:rsidRPr="00041F83" w:rsidRDefault="00A417C7" w:rsidP="00A417C7">
            <w:pPr>
              <w:spacing w:before="100" w:beforeAutospacing="1" w:after="119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30" w:type="dxa"/>
          </w:tcPr>
          <w:p w:rsidR="00A417C7" w:rsidRDefault="00A417C7" w:rsidP="00102CA3">
            <w:pPr>
              <w:spacing w:after="0" w:line="240" w:lineRule="auto"/>
              <w:ind w:left="460" w:hanging="460"/>
              <w:rPr>
                <w:rFonts w:ascii="Times New Roman" w:eastAsia="Times New Roman" w:hAnsi="Times New Roman"/>
                <w:color w:val="262626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/>
                <w:color w:val="262626"/>
                <w:sz w:val="18"/>
                <w:szCs w:val="18"/>
                <w:lang w:eastAsia="ru-RU"/>
              </w:rPr>
              <w:t>роведення енергетичного</w:t>
            </w:r>
          </w:p>
          <w:p w:rsidR="00A417C7" w:rsidRDefault="00A417C7" w:rsidP="00102CA3">
            <w:pPr>
              <w:spacing w:after="0" w:line="240" w:lineRule="auto"/>
              <w:ind w:left="460" w:hanging="46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аудиту житлового будинку</w:t>
            </w:r>
          </w:p>
          <w:p w:rsidR="00A417C7" w:rsidRPr="0041526E" w:rsidRDefault="00A417C7" w:rsidP="00102CA3">
            <w:pPr>
              <w:spacing w:after="0" w:line="240" w:lineRule="auto"/>
              <w:ind w:left="460" w:hanging="460"/>
              <w:rPr>
                <w:rFonts w:ascii="Times New Roman" w:eastAsia="Times New Roman" w:hAnsi="Times New Roman"/>
                <w:color w:val="262626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на запит ОСББ</w:t>
            </w:r>
          </w:p>
        </w:tc>
        <w:tc>
          <w:tcPr>
            <w:tcW w:w="4823" w:type="dxa"/>
          </w:tcPr>
          <w:p w:rsidR="00A417C7" w:rsidRDefault="00A417C7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262626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ідшкодування</w:t>
            </w:r>
            <w:r w:rsidRPr="00952F99">
              <w:rPr>
                <w:rFonts w:ascii="Times New Roman" w:hAnsi="Times New Roman"/>
                <w:sz w:val="18"/>
                <w:szCs w:val="18"/>
              </w:rPr>
              <w:t xml:space="preserve"> витрат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проведення енергетичного аудиту будинків ОСББ </w:t>
            </w:r>
          </w:p>
          <w:p w:rsidR="00A417C7" w:rsidRDefault="00603639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Фінансування аудиту </w:t>
            </w:r>
            <w:r w:rsidR="00A417C7">
              <w:rPr>
                <w:rFonts w:ascii="Times New Roman" w:hAnsi="Times New Roman"/>
                <w:sz w:val="18"/>
                <w:szCs w:val="18"/>
              </w:rPr>
              <w:t xml:space="preserve">в розмірі 30% від </w:t>
            </w:r>
            <w:r w:rsidR="00FA185A">
              <w:rPr>
                <w:rFonts w:ascii="Times New Roman" w:hAnsi="Times New Roman"/>
                <w:sz w:val="18"/>
                <w:szCs w:val="18"/>
              </w:rPr>
              <w:t>вартості аудиту, але не більш 25</w:t>
            </w:r>
            <w:r w:rsidR="00A417C7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  <w:proofErr w:type="spellStart"/>
            <w:r w:rsidR="00A417C7"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  <w:r w:rsidR="00A417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03639" w:rsidRPr="00041F83" w:rsidRDefault="00603639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17C7" w:rsidRPr="00041F83" w:rsidRDefault="00A417C7" w:rsidP="00102CA3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 xml:space="preserve">Виконавчий комітет Первомайської </w:t>
            </w:r>
          </w:p>
          <w:p w:rsidR="00A417C7" w:rsidRPr="00041F83" w:rsidRDefault="00A417C7" w:rsidP="00102CA3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 xml:space="preserve">міської ради, </w:t>
            </w:r>
          </w:p>
          <w:p w:rsidR="00A417C7" w:rsidRPr="00041F83" w:rsidRDefault="00A417C7" w:rsidP="00102CA3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1F83">
              <w:rPr>
                <w:rFonts w:ascii="Times New Roman" w:hAnsi="Times New Roman"/>
                <w:sz w:val="18"/>
                <w:szCs w:val="18"/>
              </w:rPr>
              <w:t>фінуправління</w:t>
            </w:r>
            <w:proofErr w:type="spellEnd"/>
            <w:r w:rsidRPr="00041F83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417C7" w:rsidRPr="00041F83" w:rsidRDefault="00A417C7" w:rsidP="00102CA3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>відділ ЖКГ.</w:t>
            </w:r>
          </w:p>
        </w:tc>
        <w:tc>
          <w:tcPr>
            <w:tcW w:w="1559" w:type="dxa"/>
          </w:tcPr>
          <w:p w:rsidR="00A417C7" w:rsidRPr="00041F83" w:rsidRDefault="00A417C7" w:rsidP="00102CA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Міський</w:t>
            </w: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бюджет,</w:t>
            </w:r>
          </w:p>
          <w:p w:rsidR="00A417C7" w:rsidRDefault="00A417C7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внески ОСББ, </w:t>
            </w:r>
          </w:p>
          <w:p w:rsidR="00A417C7" w:rsidRDefault="00A417C7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кошти Фонду, </w:t>
            </w:r>
          </w:p>
          <w:p w:rsidR="00A417C7" w:rsidRPr="00041F83" w:rsidRDefault="00A417C7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інші</w:t>
            </w: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A417C7" w:rsidRPr="00041F83" w:rsidRDefault="00A417C7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джерела</w:t>
            </w:r>
          </w:p>
          <w:p w:rsidR="00A417C7" w:rsidRPr="00041F83" w:rsidRDefault="00A417C7" w:rsidP="00102CA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417C7" w:rsidRPr="00041F83" w:rsidRDefault="00902115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  <w:r w:rsidR="00A417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A417C7" w:rsidRPr="00041F83" w:rsidRDefault="00A417C7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417C7" w:rsidRDefault="00D76E2B" w:rsidP="00A417C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  <w:r w:rsidR="00A417C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:rsidR="00A417C7" w:rsidRPr="002B7646" w:rsidRDefault="00A417C7" w:rsidP="00A417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Забезпечення ОСББ</w:t>
            </w:r>
            <w:r w:rsidRPr="002B7646">
              <w:rPr>
                <w:rFonts w:ascii="Times New Roman" w:hAnsi="Times New Roman"/>
                <w:bCs/>
                <w:sz w:val="18"/>
                <w:szCs w:val="18"/>
              </w:rPr>
              <w:t xml:space="preserve"> необхідною документацією</w:t>
            </w:r>
          </w:p>
        </w:tc>
      </w:tr>
      <w:tr w:rsidR="00577AB1" w:rsidRPr="00041F83" w:rsidTr="00057B69">
        <w:trPr>
          <w:trHeight w:val="1183"/>
        </w:trPr>
        <w:tc>
          <w:tcPr>
            <w:tcW w:w="510" w:type="dxa"/>
          </w:tcPr>
          <w:p w:rsidR="00577AB1" w:rsidRDefault="00577AB1" w:rsidP="00A417C7">
            <w:pPr>
              <w:spacing w:before="100" w:beforeAutospacing="1" w:after="119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30" w:type="dxa"/>
          </w:tcPr>
          <w:p w:rsidR="00577AB1" w:rsidRDefault="00577AB1" w:rsidP="00577AB1">
            <w:pPr>
              <w:spacing w:after="0" w:line="240" w:lineRule="auto"/>
              <w:ind w:left="460" w:hanging="46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Розробка проектної</w:t>
            </w:r>
          </w:p>
          <w:p w:rsidR="00577AB1" w:rsidRDefault="00577AB1" w:rsidP="00577AB1">
            <w:pPr>
              <w:spacing w:after="0" w:line="240" w:lineRule="auto"/>
              <w:ind w:left="460" w:hanging="46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документації та її</w:t>
            </w:r>
          </w:p>
          <w:p w:rsidR="00577AB1" w:rsidRDefault="00577AB1" w:rsidP="00577AB1">
            <w:pPr>
              <w:spacing w:after="0" w:line="240" w:lineRule="auto"/>
              <w:ind w:left="460" w:hanging="46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експертиза </w:t>
            </w:r>
          </w:p>
        </w:tc>
        <w:tc>
          <w:tcPr>
            <w:tcW w:w="4823" w:type="dxa"/>
          </w:tcPr>
          <w:p w:rsidR="00577AB1" w:rsidRDefault="00577AB1" w:rsidP="00577A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262626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ідшкодування</w:t>
            </w:r>
            <w:r w:rsidRPr="00952F99">
              <w:rPr>
                <w:rFonts w:ascii="Times New Roman" w:hAnsi="Times New Roman"/>
                <w:sz w:val="18"/>
                <w:szCs w:val="18"/>
              </w:rPr>
              <w:t xml:space="preserve"> витрат </w:t>
            </w:r>
            <w:r>
              <w:rPr>
                <w:rFonts w:ascii="Times New Roman" w:hAnsi="Times New Roman"/>
                <w:sz w:val="18"/>
                <w:szCs w:val="18"/>
              </w:rPr>
              <w:t>на розробку проектної документації  та її експертизи</w:t>
            </w:r>
            <w:r w:rsidR="005C540A">
              <w:rPr>
                <w:rFonts w:ascii="Times New Roman" w:hAnsi="Times New Roman"/>
                <w:sz w:val="18"/>
                <w:szCs w:val="18"/>
              </w:rPr>
              <w:t xml:space="preserve"> для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будинків ОСББ </w:t>
            </w:r>
          </w:p>
          <w:p w:rsidR="00577AB1" w:rsidRDefault="005C540A" w:rsidP="00577A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Фінансування розробки проектної документації  та її експертизи</w:t>
            </w:r>
            <w:r w:rsidR="00577AB1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розмірі 30% від вартості проекту та експертизи</w:t>
            </w:r>
            <w:r w:rsidR="00FA185A">
              <w:rPr>
                <w:rFonts w:ascii="Times New Roman" w:hAnsi="Times New Roman"/>
                <w:sz w:val="18"/>
                <w:szCs w:val="18"/>
              </w:rPr>
              <w:t>, але не більш 25</w:t>
            </w:r>
            <w:r w:rsidR="00577AB1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  <w:proofErr w:type="spellStart"/>
            <w:r w:rsidR="00577AB1"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  <w:r w:rsidR="00577AB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77AB1" w:rsidRDefault="00577AB1" w:rsidP="00102CA3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540A" w:rsidRPr="00041F83" w:rsidRDefault="005C540A" w:rsidP="005C540A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 xml:space="preserve">Виконавчий комітет Первомайської </w:t>
            </w:r>
          </w:p>
          <w:p w:rsidR="005C540A" w:rsidRPr="00041F83" w:rsidRDefault="005C540A" w:rsidP="005C540A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 xml:space="preserve">міської ради, </w:t>
            </w:r>
          </w:p>
          <w:p w:rsidR="005C540A" w:rsidRPr="00041F83" w:rsidRDefault="005C540A" w:rsidP="005C540A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1F83">
              <w:rPr>
                <w:rFonts w:ascii="Times New Roman" w:hAnsi="Times New Roman"/>
                <w:sz w:val="18"/>
                <w:szCs w:val="18"/>
              </w:rPr>
              <w:t>фінуправління</w:t>
            </w:r>
            <w:proofErr w:type="spellEnd"/>
            <w:r w:rsidRPr="00041F83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77AB1" w:rsidRPr="00041F83" w:rsidRDefault="005C540A" w:rsidP="005C540A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>відділ ЖКГ.</w:t>
            </w:r>
          </w:p>
        </w:tc>
        <w:tc>
          <w:tcPr>
            <w:tcW w:w="1559" w:type="dxa"/>
          </w:tcPr>
          <w:p w:rsidR="005C540A" w:rsidRPr="00041F83" w:rsidRDefault="005C540A" w:rsidP="005C5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Міський</w:t>
            </w: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бюджет,</w:t>
            </w:r>
          </w:p>
          <w:p w:rsidR="005C540A" w:rsidRDefault="005C540A" w:rsidP="005C5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внески ОСББ, </w:t>
            </w:r>
          </w:p>
          <w:p w:rsidR="005C540A" w:rsidRDefault="005C540A" w:rsidP="005C5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кошти Фонду, </w:t>
            </w:r>
          </w:p>
          <w:p w:rsidR="005C540A" w:rsidRPr="00041F83" w:rsidRDefault="005C540A" w:rsidP="005C5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інші</w:t>
            </w: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C540A" w:rsidRPr="00041F83" w:rsidRDefault="005C540A" w:rsidP="005C5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джерела</w:t>
            </w:r>
          </w:p>
          <w:p w:rsidR="00577AB1" w:rsidRPr="00041F83" w:rsidRDefault="00577AB1" w:rsidP="00102CA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77AB1" w:rsidRDefault="00902115" w:rsidP="00102C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  <w:r w:rsidR="005C540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9A50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</w:tcPr>
          <w:p w:rsidR="00577AB1" w:rsidRDefault="00D76E2B" w:rsidP="00A417C7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  <w:r w:rsidR="005C540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9A502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701" w:type="dxa"/>
          </w:tcPr>
          <w:p w:rsidR="00577AB1" w:rsidRDefault="005C540A" w:rsidP="00A417C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Забезпечення ОСББ</w:t>
            </w:r>
            <w:r w:rsidRPr="002B7646">
              <w:rPr>
                <w:rFonts w:ascii="Times New Roman" w:hAnsi="Times New Roman"/>
                <w:bCs/>
                <w:sz w:val="18"/>
                <w:szCs w:val="18"/>
              </w:rPr>
              <w:t xml:space="preserve"> необхідною документацією</w:t>
            </w:r>
          </w:p>
        </w:tc>
      </w:tr>
      <w:tr w:rsidR="00680CFC" w:rsidRPr="00041F83" w:rsidTr="00680CFC">
        <w:trPr>
          <w:trHeight w:val="2111"/>
        </w:trPr>
        <w:tc>
          <w:tcPr>
            <w:tcW w:w="510" w:type="dxa"/>
            <w:vAlign w:val="center"/>
          </w:tcPr>
          <w:p w:rsidR="00680CFC" w:rsidRPr="00041F83" w:rsidRDefault="00680CFC" w:rsidP="009A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30" w:type="dxa"/>
          </w:tcPr>
          <w:p w:rsidR="00680CFC" w:rsidRPr="00041F83" w:rsidRDefault="00680CFC" w:rsidP="00764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Підвищення </w:t>
            </w:r>
            <w:proofErr w:type="spellStart"/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>енергоефективності</w:t>
            </w:r>
            <w:proofErr w:type="spellEnd"/>
          </w:p>
          <w:p w:rsidR="00680CFC" w:rsidRPr="00041F83" w:rsidRDefault="00680CFC" w:rsidP="00764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>житлового фонду, зменшення обсягів</w:t>
            </w:r>
          </w:p>
          <w:p w:rsidR="00680CFC" w:rsidRPr="00041F83" w:rsidRDefault="00680CFC" w:rsidP="00764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>використання енергоресурсів</w:t>
            </w:r>
          </w:p>
        </w:tc>
        <w:tc>
          <w:tcPr>
            <w:tcW w:w="4823" w:type="dxa"/>
          </w:tcPr>
          <w:p w:rsidR="00680CFC" w:rsidRDefault="00680CFC" w:rsidP="0076407E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041F83">
              <w:rPr>
                <w:rFonts w:ascii="Times New Roman" w:hAnsi="Times New Roman"/>
                <w:sz w:val="18"/>
                <w:szCs w:val="18"/>
              </w:rPr>
              <w:t>ідшкодування позичальникам частини суми кредиту в розмірі 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% суми кредиту, але не більш 50</w:t>
            </w:r>
            <w:r w:rsidRPr="00041F83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proofErr w:type="spellStart"/>
            <w:r w:rsidRPr="00041F83">
              <w:rPr>
                <w:rFonts w:ascii="Times New Roman" w:hAnsi="Times New Roman"/>
                <w:sz w:val="18"/>
                <w:szCs w:val="18"/>
              </w:rPr>
              <w:t>тис.грн</w:t>
            </w:r>
            <w:proofErr w:type="spellEnd"/>
            <w:r w:rsidRPr="00041F8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здійснення заходів Програми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Енергодім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041F83">
              <w:rPr>
                <w:rFonts w:ascii="Times New Roman" w:hAnsi="Times New Roman"/>
                <w:sz w:val="18"/>
                <w:szCs w:val="18"/>
              </w:rPr>
              <w:t>, до яких належать:</w:t>
            </w:r>
            <w:r w:rsidRPr="0099652D">
              <w:rPr>
                <w:sz w:val="28"/>
                <w:szCs w:val="28"/>
                <w:lang w:bidi="hi-IN"/>
              </w:rPr>
              <w:t xml:space="preserve"> </w:t>
            </w:r>
          </w:p>
          <w:p w:rsidR="00680CFC" w:rsidRPr="002B70D6" w:rsidRDefault="00680CFC" w:rsidP="007640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21E43"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 xml:space="preserve">Перелік Заходів з </w:t>
            </w:r>
            <w:proofErr w:type="spellStart"/>
            <w:r w:rsidRPr="00F21E43"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енергоефективності</w:t>
            </w:r>
            <w:proofErr w:type="spellEnd"/>
            <w:r w:rsidRPr="00F21E43"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, що входять до Пакету заходів «А» («Легкий»)</w:t>
            </w:r>
            <w:r w:rsidRPr="0099652D">
              <w:rPr>
                <w:sz w:val="28"/>
                <w:szCs w:val="28"/>
                <w:lang w:bidi="hi-IN"/>
              </w:rPr>
              <w:t xml:space="preserve"> </w:t>
            </w:r>
            <w:r w:rsidRPr="002B70D6">
              <w:rPr>
                <w:rFonts w:ascii="Times New Roman" w:hAnsi="Times New Roman"/>
                <w:i/>
                <w:sz w:val="18"/>
                <w:szCs w:val="18"/>
                <w:lang w:bidi="hi-IN"/>
              </w:rPr>
              <w:t>Обов’язкові заходи:</w:t>
            </w:r>
            <w:r w:rsidRPr="002B70D6">
              <w:rPr>
                <w:rFonts w:ascii="Arial" w:eastAsia="Times New Roman" w:hAnsi="Arial" w:cs="Arial"/>
                <w:i/>
                <w:color w:val="2A2B2A"/>
                <w:sz w:val="24"/>
                <w:szCs w:val="24"/>
                <w:lang w:eastAsia="ru-RU"/>
              </w:rPr>
              <w:t xml:space="preserve"> </w:t>
            </w:r>
          </w:p>
          <w:p w:rsidR="00680CFC" w:rsidRPr="0076407E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407E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Встановлення лічильника теплової енергії;</w:t>
            </w:r>
          </w:p>
          <w:p w:rsidR="00680CFC" w:rsidRPr="0076407E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407E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Встановлення індивідуального теплового пункту;</w:t>
            </w:r>
          </w:p>
          <w:p w:rsidR="00680CFC" w:rsidRPr="0076407E" w:rsidRDefault="00680CFC" w:rsidP="007640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407E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Заміна котла;</w:t>
            </w:r>
          </w:p>
          <w:p w:rsidR="00680CFC" w:rsidRPr="0076407E" w:rsidRDefault="00680CFC" w:rsidP="007640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407E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Теплоізоляція або заміна трубопроводів;</w:t>
            </w:r>
          </w:p>
          <w:p w:rsidR="00680CFC" w:rsidRPr="0076407E" w:rsidRDefault="00680CFC" w:rsidP="007640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407E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Балансування системи опалення;</w:t>
            </w:r>
          </w:p>
          <w:p w:rsidR="00680CFC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2B70D6">
              <w:rPr>
                <w:rFonts w:ascii="Times New Roman" w:eastAsia="Times New Roman" w:hAnsi="Times New Roman"/>
                <w:i/>
                <w:color w:val="2A2B2A"/>
                <w:sz w:val="18"/>
                <w:szCs w:val="18"/>
                <w:lang w:eastAsia="ru-RU"/>
              </w:rPr>
              <w:t>Додатковими заходами:</w:t>
            </w:r>
          </w:p>
          <w:p w:rsidR="00680CFC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</w:t>
            </w:r>
            <w:r w:rsidRPr="002B70D6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Модернізація</w:t>
            </w:r>
            <w:proofErr w:type="spellEnd"/>
            <w:r w:rsidRPr="002B70D6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 xml:space="preserve"> системи гарячого водопостачання;</w:t>
            </w:r>
          </w:p>
          <w:p w:rsidR="00680CFC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2B70D6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Встановлення вузлів розподільного обліку тепла потреби опалення та приладів-розподілювачів у квартирах;</w:t>
            </w:r>
          </w:p>
          <w:p w:rsidR="00680CFC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2B70D6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Встановлення автоматичних регуляторів температури повітря у квартирах та місцях загального користування;</w:t>
            </w:r>
          </w:p>
          <w:p w:rsidR="00680CFC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2B70D6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Заміна або теплоізоляція трубопроводів опалення та приладів водяної системи опалення у місцях загального користування;</w:t>
            </w:r>
          </w:p>
          <w:p w:rsidR="00680CFC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2B70D6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Заміна або ремонт зовнішніх дверей та облаштування тамбурів;</w:t>
            </w:r>
          </w:p>
          <w:p w:rsidR="00680CFC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2B70D6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 xml:space="preserve">- Заміна або ремонт балконних дверей, вікон у місцях </w:t>
            </w:r>
            <w:r w:rsidRPr="002B70D6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lastRenderedPageBreak/>
              <w:t>загального користування;</w:t>
            </w:r>
          </w:p>
          <w:p w:rsidR="00680CFC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2B70D6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Модернізація системи освітлення у місцях загального користування.</w:t>
            </w:r>
          </w:p>
          <w:p w:rsidR="00680CFC" w:rsidRPr="006F069D" w:rsidRDefault="00680CFC" w:rsidP="00D86E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A2B2A"/>
                <w:sz w:val="18"/>
                <w:szCs w:val="18"/>
                <w:lang w:eastAsia="ru-RU"/>
              </w:rPr>
            </w:pPr>
            <w:r w:rsidRPr="006F069D">
              <w:rPr>
                <w:rFonts w:ascii="Times New Roman" w:eastAsia="Times New Roman" w:hAnsi="Times New Roman"/>
                <w:b/>
                <w:color w:val="2A2B2A"/>
                <w:sz w:val="18"/>
                <w:szCs w:val="18"/>
                <w:lang w:eastAsia="ru-RU"/>
              </w:rPr>
              <w:t>Перелік</w:t>
            </w:r>
            <w:r>
              <w:rPr>
                <w:rFonts w:ascii="Times New Roman" w:eastAsia="Times New Roman" w:hAnsi="Times New Roman"/>
                <w:b/>
                <w:color w:val="2A2B2A"/>
                <w:sz w:val="18"/>
                <w:szCs w:val="18"/>
                <w:lang w:eastAsia="ru-RU"/>
              </w:rPr>
              <w:t xml:space="preserve"> Заходів з </w:t>
            </w:r>
            <w:proofErr w:type="spellStart"/>
            <w:r>
              <w:rPr>
                <w:rFonts w:ascii="Times New Roman" w:eastAsia="Times New Roman" w:hAnsi="Times New Roman"/>
                <w:b/>
                <w:color w:val="2A2B2A"/>
                <w:sz w:val="18"/>
                <w:szCs w:val="18"/>
                <w:lang w:eastAsia="ru-RU"/>
              </w:rPr>
              <w:t>енергоефективності</w:t>
            </w:r>
            <w:proofErr w:type="spellEnd"/>
            <w:r>
              <w:rPr>
                <w:rFonts w:ascii="Times New Roman" w:eastAsia="Times New Roman" w:hAnsi="Times New Roman"/>
                <w:b/>
                <w:color w:val="2A2B2A"/>
                <w:sz w:val="18"/>
                <w:szCs w:val="18"/>
                <w:lang w:eastAsia="ru-RU"/>
              </w:rPr>
              <w:t>, що входять до пакету «Б» («Комплексний»)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6F069D">
              <w:rPr>
                <w:rFonts w:ascii="Times New Roman" w:eastAsia="Times New Roman" w:hAnsi="Times New Roman"/>
                <w:i/>
                <w:color w:val="2A2B2A"/>
                <w:sz w:val="18"/>
                <w:szCs w:val="18"/>
                <w:lang w:eastAsia="ru-RU"/>
              </w:rPr>
              <w:t>Обов’язкові заходи: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Всі обов’язкові заходи «Пакету А»;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Комплекс робіт із теплоізоляції та улаштування зовнішніх стін та цоколю, опалювальних та неопалювальних технічних поверхів та дахів, плит перекриття підвалу;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Заміна або ремонт зовнішніх дверей, облаштування тамбурів зовнішнього входу;</w:t>
            </w:r>
          </w:p>
          <w:p w:rsidR="00680CFC" w:rsidRPr="006F069D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Заміна або ремонт вікон та балконів у місцях загального користування.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6F069D">
              <w:rPr>
                <w:rFonts w:ascii="Times New Roman" w:eastAsia="Times New Roman" w:hAnsi="Times New Roman"/>
                <w:i/>
                <w:color w:val="2A2B2A"/>
                <w:sz w:val="18"/>
                <w:szCs w:val="18"/>
                <w:lang w:eastAsia="ru-RU"/>
              </w:rPr>
              <w:t>Додатковими заходами Пакету Б є: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Модернізація системи гарячого водопостачання;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Заміна або теплоізоляція трубопроводів опалення у місцях загального користування та квартирах;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Заміна або теплоізоляція трубопроводів опалення та водяної системи опалення у квартирах;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Встановлення вузлів розподільного обліку теплової енергії та приладів-розподілювачів тепла у квартирах;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Встановлення на приладі водяного опалення автоматичних регуляторів температури повітря в місцях загального користування або квартирах;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Заміна або ремонт вікон та балконних блоків у квартирах, утеплення та скління наявних балконів та лоджій;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Модернізація системи освітлення в місцях загального користування;</w:t>
            </w:r>
          </w:p>
          <w:p w:rsidR="00680CFC" w:rsidRDefault="00680CFC" w:rsidP="006F0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- Мо</w:t>
            </w:r>
            <w:r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дернізація системи вентиляції з</w:t>
            </w:r>
          </w:p>
          <w:p w:rsidR="00680CFC" w:rsidRPr="002B70D6" w:rsidRDefault="00680CFC" w:rsidP="002B70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D86EB9">
              <w:rPr>
                <w:rFonts w:ascii="Times New Roman" w:eastAsia="Times New Roman" w:hAnsi="Times New Roman"/>
                <w:color w:val="2A2B2A"/>
                <w:sz w:val="18"/>
                <w:szCs w:val="18"/>
                <w:lang w:eastAsia="ru-RU"/>
              </w:rPr>
              <w:t>встановленням рекуператорів</w:t>
            </w:r>
            <w:r>
              <w:rPr>
                <w:rFonts w:ascii="Arial" w:eastAsia="Times New Roman" w:hAnsi="Arial" w:cs="Arial"/>
                <w:color w:val="2A2B2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80CFC" w:rsidRPr="00041F83" w:rsidRDefault="00680CFC" w:rsidP="0076407E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Виконавчий комітет Первомайської </w:t>
            </w:r>
          </w:p>
          <w:p w:rsidR="00680CFC" w:rsidRPr="00041F83" w:rsidRDefault="00680CFC" w:rsidP="0076407E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 xml:space="preserve">міської ради, </w:t>
            </w:r>
          </w:p>
          <w:p w:rsidR="00680CFC" w:rsidRPr="00041F83" w:rsidRDefault="00057B69" w:rsidP="0076407E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pgNum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іну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правління</w:t>
            </w:r>
            <w:r w:rsidR="00680CFC" w:rsidRPr="00041F83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680CFC" w:rsidRPr="00041F83" w:rsidRDefault="00680CFC" w:rsidP="0076407E">
            <w:pPr>
              <w:spacing w:after="0" w:line="15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>відділ ЖКГ,</w:t>
            </w:r>
          </w:p>
          <w:p w:rsidR="00680CFC" w:rsidRPr="00041F83" w:rsidRDefault="00680CFC" w:rsidP="0076407E">
            <w:pPr>
              <w:spacing w:after="0" w:line="15" w:lineRule="atLeas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банківські </w:t>
            </w:r>
          </w:p>
          <w:p w:rsidR="00680CFC" w:rsidRPr="00041F83" w:rsidRDefault="00680CFC" w:rsidP="0076407E">
            <w:pPr>
              <w:spacing w:after="0" w:line="15" w:lineRule="atLeas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та фінансові </w:t>
            </w:r>
          </w:p>
          <w:p w:rsidR="00680CFC" w:rsidRPr="00041F83" w:rsidRDefault="00680CFC" w:rsidP="00764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установи</w:t>
            </w:r>
          </w:p>
        </w:tc>
        <w:tc>
          <w:tcPr>
            <w:tcW w:w="1559" w:type="dxa"/>
          </w:tcPr>
          <w:p w:rsidR="00680CFC" w:rsidRPr="00041F83" w:rsidRDefault="00680CFC" w:rsidP="007640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Міський</w:t>
            </w: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бюджет,</w:t>
            </w:r>
          </w:p>
          <w:p w:rsidR="00680CFC" w:rsidRPr="00041F83" w:rsidRDefault="00680CFC" w:rsidP="00764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інші</w:t>
            </w: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джерела</w:t>
            </w:r>
          </w:p>
        </w:tc>
        <w:tc>
          <w:tcPr>
            <w:tcW w:w="1701" w:type="dxa"/>
          </w:tcPr>
          <w:p w:rsidR="00680CFC" w:rsidRPr="00041F83" w:rsidRDefault="00225FA0" w:rsidP="00680CFC">
            <w:pPr>
              <w:spacing w:after="0"/>
              <w:ind w:left="-85" w:right="-8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680CFC"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134" w:type="dxa"/>
          </w:tcPr>
          <w:p w:rsidR="00680CFC" w:rsidRPr="00041F83" w:rsidRDefault="00225FA0" w:rsidP="00680C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680C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701" w:type="dxa"/>
          </w:tcPr>
          <w:p w:rsidR="00680CFC" w:rsidRDefault="00680CFC" w:rsidP="00680C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Зменшення використання </w:t>
            </w:r>
          </w:p>
          <w:p w:rsidR="00680CFC" w:rsidRDefault="00680CFC" w:rsidP="00680C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енергоресурсів, </w:t>
            </w:r>
          </w:p>
          <w:p w:rsidR="00680CFC" w:rsidRDefault="00680CFC" w:rsidP="00680C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популяризація </w:t>
            </w:r>
          </w:p>
          <w:p w:rsidR="00680CFC" w:rsidRDefault="00680CFC" w:rsidP="00680C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функціонування </w:t>
            </w:r>
          </w:p>
          <w:p w:rsidR="00680CFC" w:rsidRDefault="00680CFC" w:rsidP="00680C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ОСББ, </w:t>
            </w:r>
          </w:p>
          <w:p w:rsidR="00680CFC" w:rsidRDefault="00680CFC" w:rsidP="0068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переваги</w:t>
            </w: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80CFC" w:rsidRPr="00041F83" w:rsidRDefault="00680CFC" w:rsidP="0068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ефективного</w:t>
            </w:r>
          </w:p>
          <w:p w:rsidR="00680CFC" w:rsidRPr="00041F83" w:rsidRDefault="00680CFC" w:rsidP="0068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власника</w:t>
            </w:r>
          </w:p>
          <w:p w:rsidR="00680CFC" w:rsidRPr="00041F83" w:rsidRDefault="00680CFC" w:rsidP="00680CF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житла</w:t>
            </w:r>
          </w:p>
        </w:tc>
      </w:tr>
      <w:tr w:rsidR="00680CFC" w:rsidRPr="00041F83" w:rsidTr="00680CFC">
        <w:trPr>
          <w:trHeight w:val="1568"/>
        </w:trPr>
        <w:tc>
          <w:tcPr>
            <w:tcW w:w="510" w:type="dxa"/>
            <w:vAlign w:val="center"/>
          </w:tcPr>
          <w:p w:rsidR="00680CFC" w:rsidRPr="00041F83" w:rsidRDefault="00680CFC" w:rsidP="007640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Pr="00041F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30" w:type="dxa"/>
          </w:tcPr>
          <w:p w:rsidR="00680CFC" w:rsidRPr="00041F83" w:rsidRDefault="00680CFC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 xml:space="preserve">Залучення кредитних коштів на заходи  підвищення </w:t>
            </w:r>
            <w:proofErr w:type="spellStart"/>
            <w:r w:rsidRPr="00041F83">
              <w:rPr>
                <w:rFonts w:ascii="Times New Roman" w:hAnsi="Times New Roman"/>
                <w:sz w:val="18"/>
                <w:szCs w:val="18"/>
              </w:rPr>
              <w:t>енергоефективності</w:t>
            </w:r>
            <w:proofErr w:type="spellEnd"/>
            <w:r w:rsidRPr="00041F83">
              <w:rPr>
                <w:rFonts w:ascii="Times New Roman" w:hAnsi="Times New Roman"/>
                <w:sz w:val="18"/>
                <w:szCs w:val="18"/>
              </w:rPr>
              <w:t xml:space="preserve"> житлових будинків</w:t>
            </w:r>
          </w:p>
        </w:tc>
        <w:tc>
          <w:tcPr>
            <w:tcW w:w="4823" w:type="dxa"/>
          </w:tcPr>
          <w:p w:rsidR="00680CFC" w:rsidRPr="002035BB" w:rsidRDefault="00680CFC" w:rsidP="00203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>Відшкодування відсотків</w:t>
            </w:r>
            <w:r w:rsidRPr="00041F8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041F8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20% за кредитами</w:t>
            </w:r>
            <w:r w:rsidRPr="003350A3">
              <w:rPr>
                <w:rFonts w:ascii="Times New Roman" w:hAnsi="Times New Roman"/>
                <w:sz w:val="18"/>
                <w:szCs w:val="18"/>
              </w:rPr>
              <w:t>, що отримані ОСББ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50A3">
              <w:rPr>
                <w:rFonts w:ascii="Times New Roman" w:hAnsi="Times New Roman"/>
                <w:sz w:val="18"/>
                <w:szCs w:val="18"/>
              </w:rPr>
              <w:t xml:space="preserve">на впровадження заходів з </w:t>
            </w:r>
            <w:proofErr w:type="spellStart"/>
            <w:r w:rsidRPr="003350A3">
              <w:rPr>
                <w:rFonts w:ascii="Times New Roman" w:hAnsi="Times New Roman"/>
                <w:sz w:val="18"/>
                <w:szCs w:val="18"/>
              </w:rPr>
              <w:t>енергоефективності</w:t>
            </w:r>
            <w:proofErr w:type="spellEnd"/>
            <w:r w:rsidRPr="003350A3">
              <w:rPr>
                <w:rFonts w:ascii="Times New Roman" w:hAnsi="Times New Roman"/>
                <w:sz w:val="18"/>
                <w:szCs w:val="18"/>
              </w:rPr>
              <w:t xml:space="preserve">, які передбачені Програмою підтримки </w:t>
            </w:r>
            <w:proofErr w:type="spellStart"/>
            <w:r w:rsidRPr="003350A3">
              <w:rPr>
                <w:rFonts w:ascii="Times New Roman" w:hAnsi="Times New Roman"/>
                <w:sz w:val="18"/>
                <w:szCs w:val="18"/>
              </w:rPr>
              <w:t>енергомодернізації</w:t>
            </w:r>
            <w:proofErr w:type="spellEnd"/>
            <w:r w:rsidRPr="003350A3">
              <w:rPr>
                <w:rFonts w:ascii="Times New Roman" w:hAnsi="Times New Roman"/>
                <w:sz w:val="18"/>
                <w:szCs w:val="18"/>
              </w:rPr>
              <w:t xml:space="preserve"> багатоквартирних будинків «ЕНЕРГОДІМ»</w:t>
            </w:r>
          </w:p>
          <w:p w:rsidR="00680CFC" w:rsidRPr="00041F83" w:rsidRDefault="00680CFC" w:rsidP="003350A3">
            <w:pPr>
              <w:shd w:val="clear" w:color="auto" w:fill="FFFFFF"/>
              <w:spacing w:after="0" w:line="240" w:lineRule="auto"/>
              <w:ind w:right="448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680CFC" w:rsidRPr="00041F83" w:rsidRDefault="00680CFC" w:rsidP="00102CA3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 xml:space="preserve">Виконавчий комітет Первомайської </w:t>
            </w:r>
          </w:p>
          <w:p w:rsidR="00680CFC" w:rsidRPr="00041F83" w:rsidRDefault="00680CFC" w:rsidP="00102CA3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 xml:space="preserve">міської ради, </w:t>
            </w:r>
          </w:p>
          <w:p w:rsidR="00680CFC" w:rsidRPr="00041F83" w:rsidRDefault="00057B69" w:rsidP="00102CA3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pgNum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іну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правління</w:t>
            </w:r>
            <w:r w:rsidR="00680CFC" w:rsidRPr="00041F83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680CFC" w:rsidRPr="00041F83" w:rsidRDefault="00680CFC" w:rsidP="00102CA3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sz w:val="18"/>
                <w:szCs w:val="18"/>
              </w:rPr>
              <w:t>відділ ЖКГ,</w:t>
            </w:r>
          </w:p>
          <w:p w:rsidR="00680CFC" w:rsidRPr="00041F83" w:rsidRDefault="00680CFC" w:rsidP="00102C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банківські </w:t>
            </w:r>
          </w:p>
          <w:p w:rsidR="00680CFC" w:rsidRPr="00041F83" w:rsidRDefault="00680CFC" w:rsidP="00102C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та фінансові </w:t>
            </w:r>
          </w:p>
          <w:p w:rsidR="00680CFC" w:rsidRPr="00041F83" w:rsidRDefault="00680CFC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установи</w:t>
            </w:r>
          </w:p>
        </w:tc>
        <w:tc>
          <w:tcPr>
            <w:tcW w:w="1559" w:type="dxa"/>
          </w:tcPr>
          <w:p w:rsidR="00680CFC" w:rsidRPr="00041F83" w:rsidRDefault="00680CFC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Міський</w:t>
            </w: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бюджет,</w:t>
            </w:r>
          </w:p>
          <w:p w:rsidR="00680CFC" w:rsidRPr="00041F83" w:rsidRDefault="00680CFC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інші</w:t>
            </w:r>
            <w:r w:rsidRPr="00041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41F8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джерела</w:t>
            </w:r>
          </w:p>
          <w:p w:rsidR="00680CFC" w:rsidRPr="00041F83" w:rsidRDefault="00680CFC" w:rsidP="00102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0CFC" w:rsidRPr="00041F83" w:rsidRDefault="00680CFC" w:rsidP="00102CA3">
            <w:pPr>
              <w:spacing w:after="0" w:line="240" w:lineRule="auto"/>
              <w:ind w:left="-85" w:right="-8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0CFC" w:rsidRPr="00041F83" w:rsidRDefault="00680CFC" w:rsidP="00102C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0CFC" w:rsidRPr="00041F83" w:rsidRDefault="00680CFC" w:rsidP="00102C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0CFC" w:rsidRPr="00041F83" w:rsidTr="00680CFC">
        <w:trPr>
          <w:trHeight w:val="427"/>
        </w:trPr>
        <w:tc>
          <w:tcPr>
            <w:tcW w:w="510" w:type="dxa"/>
            <w:vAlign w:val="center"/>
          </w:tcPr>
          <w:p w:rsidR="00680CFC" w:rsidRPr="00041F83" w:rsidRDefault="00680CFC" w:rsidP="00102C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:rsidR="00680CFC" w:rsidRPr="002035BB" w:rsidRDefault="00680CFC" w:rsidP="00102C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35BB">
              <w:rPr>
                <w:rFonts w:ascii="Times New Roman" w:hAnsi="Times New Roman"/>
                <w:b/>
                <w:sz w:val="18"/>
                <w:szCs w:val="18"/>
              </w:rPr>
              <w:t>ВСЬОГО:</w:t>
            </w:r>
          </w:p>
        </w:tc>
        <w:tc>
          <w:tcPr>
            <w:tcW w:w="4823" w:type="dxa"/>
          </w:tcPr>
          <w:p w:rsidR="00680CFC" w:rsidRPr="002035BB" w:rsidRDefault="00680CFC" w:rsidP="00102C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80CFC" w:rsidRPr="002035BB" w:rsidRDefault="00680CFC" w:rsidP="00102CA3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80CFC" w:rsidRPr="002035BB" w:rsidRDefault="00680CFC" w:rsidP="00102C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80CFC" w:rsidRPr="002035BB" w:rsidRDefault="00902115" w:rsidP="00057B6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1 0</w:t>
            </w:r>
            <w:r w:rsidR="00057B69">
              <w:rPr>
                <w:rFonts w:ascii="Times New Roman" w:hAnsi="Times New Roman"/>
                <w:b/>
                <w:sz w:val="18"/>
                <w:szCs w:val="18"/>
              </w:rPr>
              <w:t>00,</w:t>
            </w:r>
            <w:r w:rsidR="00057B69"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134" w:type="dxa"/>
          </w:tcPr>
          <w:p w:rsidR="00680CFC" w:rsidRPr="002035BB" w:rsidRDefault="00057B69" w:rsidP="00057B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900,0</w:t>
            </w:r>
          </w:p>
        </w:tc>
        <w:tc>
          <w:tcPr>
            <w:tcW w:w="1701" w:type="dxa"/>
          </w:tcPr>
          <w:p w:rsidR="00680CFC" w:rsidRPr="002035BB" w:rsidRDefault="00680CFC" w:rsidP="00102CA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91C6B" w:rsidRDefault="00791C6B"/>
    <w:p w:rsidR="00B511EF" w:rsidRDefault="00791C6B" w:rsidP="00057B69">
      <w:pPr>
        <w:jc w:val="center"/>
        <w:rPr>
          <w:rFonts w:ascii="Times New Roman" w:hAnsi="Times New Roman"/>
          <w:b/>
          <w:sz w:val="24"/>
          <w:szCs w:val="24"/>
        </w:rPr>
      </w:pPr>
      <w:r w:rsidRPr="00791C6B">
        <w:rPr>
          <w:rFonts w:ascii="Times New Roman" w:hAnsi="Times New Roman"/>
          <w:b/>
          <w:sz w:val="24"/>
          <w:szCs w:val="24"/>
        </w:rPr>
        <w:t>Перший заступник міського голови                                                                         Антон ОРЄХОВ</w:t>
      </w:r>
    </w:p>
    <w:p w:rsidR="00791C6B" w:rsidRPr="00B511EF" w:rsidRDefault="00791C6B" w:rsidP="00791C6B">
      <w:pPr>
        <w:rPr>
          <w:rFonts w:ascii="Times New Roman" w:hAnsi="Times New Roman"/>
          <w:b/>
          <w:sz w:val="24"/>
          <w:szCs w:val="24"/>
        </w:rPr>
      </w:pPr>
      <w:r w:rsidRPr="00791C6B">
        <w:rPr>
          <w:rFonts w:ascii="Times New Roman" w:hAnsi="Times New Roman"/>
          <w:sz w:val="18"/>
          <w:szCs w:val="18"/>
        </w:rPr>
        <w:t>Вик. Тетяна МАРКОВА</w:t>
      </w:r>
    </w:p>
    <w:sectPr w:rsidR="00791C6B" w:rsidRPr="00B511EF" w:rsidSect="00B511EF">
      <w:headerReference w:type="even" r:id="rId10"/>
      <w:headerReference w:type="default" r:id="rId11"/>
      <w:pgSz w:w="16838" w:h="11906" w:orient="landscape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EE" w:rsidRDefault="001C12EE" w:rsidP="00AD20B2">
      <w:pPr>
        <w:spacing w:after="0" w:line="240" w:lineRule="auto"/>
      </w:pPr>
      <w:r>
        <w:separator/>
      </w:r>
    </w:p>
  </w:endnote>
  <w:endnote w:type="continuationSeparator" w:id="0">
    <w:p w:rsidR="001C12EE" w:rsidRDefault="001C12EE" w:rsidP="00AD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EE" w:rsidRDefault="001C12EE" w:rsidP="00AD20B2">
      <w:pPr>
        <w:spacing w:after="0" w:line="240" w:lineRule="auto"/>
      </w:pPr>
      <w:r>
        <w:separator/>
      </w:r>
    </w:p>
  </w:footnote>
  <w:footnote w:type="continuationSeparator" w:id="0">
    <w:p w:rsidR="001C12EE" w:rsidRDefault="001C12EE" w:rsidP="00AD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BC" w:rsidRDefault="00470573" w:rsidP="00191DD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75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4DBC" w:rsidRDefault="001C12EE" w:rsidP="001A237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BC" w:rsidRDefault="00470573" w:rsidP="00191DD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757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47DC">
      <w:rPr>
        <w:rStyle w:val="a8"/>
        <w:noProof/>
      </w:rPr>
      <w:t>2</w:t>
    </w:r>
    <w:r>
      <w:rPr>
        <w:rStyle w:val="a8"/>
      </w:rPr>
      <w:fldChar w:fldCharType="end"/>
    </w:r>
  </w:p>
  <w:p w:rsidR="00F54DBC" w:rsidRDefault="001C12EE" w:rsidP="00191DD3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BC" w:rsidRDefault="00470573" w:rsidP="001A237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75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4DBC" w:rsidRDefault="001C12EE" w:rsidP="001A2373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BC" w:rsidRDefault="00470573" w:rsidP="001A237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757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47DC">
      <w:rPr>
        <w:rStyle w:val="a8"/>
        <w:noProof/>
      </w:rPr>
      <w:t>2</w:t>
    </w:r>
    <w:r>
      <w:rPr>
        <w:rStyle w:val="a8"/>
      </w:rPr>
      <w:fldChar w:fldCharType="end"/>
    </w:r>
  </w:p>
  <w:p w:rsidR="00F54DBC" w:rsidRDefault="001C12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71B"/>
    <w:multiLevelType w:val="hybridMultilevel"/>
    <w:tmpl w:val="05642E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65C2"/>
    <w:multiLevelType w:val="multilevel"/>
    <w:tmpl w:val="51E2AA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AD2B9D"/>
    <w:multiLevelType w:val="multilevel"/>
    <w:tmpl w:val="E70A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F2C1A"/>
    <w:multiLevelType w:val="multilevel"/>
    <w:tmpl w:val="45A8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725A3"/>
    <w:multiLevelType w:val="multilevel"/>
    <w:tmpl w:val="4100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00633"/>
    <w:multiLevelType w:val="hybridMultilevel"/>
    <w:tmpl w:val="9F28395E"/>
    <w:lvl w:ilvl="0" w:tplc="E0A0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97BCA"/>
    <w:multiLevelType w:val="hybridMultilevel"/>
    <w:tmpl w:val="0B1C9F18"/>
    <w:lvl w:ilvl="0" w:tplc="5726B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EF7002"/>
    <w:multiLevelType w:val="multilevel"/>
    <w:tmpl w:val="E8464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  <w:color w:val="auto"/>
      </w:rPr>
    </w:lvl>
  </w:abstractNum>
  <w:abstractNum w:abstractNumId="8">
    <w:nsid w:val="72B316A3"/>
    <w:multiLevelType w:val="hybridMultilevel"/>
    <w:tmpl w:val="10D40350"/>
    <w:lvl w:ilvl="0" w:tplc="3C5E7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2A2B2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F0A5C"/>
    <w:multiLevelType w:val="multilevel"/>
    <w:tmpl w:val="192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2B7"/>
    <w:rsid w:val="000139AC"/>
    <w:rsid w:val="0002635B"/>
    <w:rsid w:val="00033730"/>
    <w:rsid w:val="0004668A"/>
    <w:rsid w:val="00057B69"/>
    <w:rsid w:val="00066DF5"/>
    <w:rsid w:val="00074483"/>
    <w:rsid w:val="00087642"/>
    <w:rsid w:val="000D5AC7"/>
    <w:rsid w:val="000D72B7"/>
    <w:rsid w:val="000F734A"/>
    <w:rsid w:val="00104819"/>
    <w:rsid w:val="00131EEC"/>
    <w:rsid w:val="00161D95"/>
    <w:rsid w:val="00162A8F"/>
    <w:rsid w:val="001B11F9"/>
    <w:rsid w:val="001C12EE"/>
    <w:rsid w:val="002035BB"/>
    <w:rsid w:val="00206F77"/>
    <w:rsid w:val="00225FA0"/>
    <w:rsid w:val="002605C2"/>
    <w:rsid w:val="002A5B12"/>
    <w:rsid w:val="002B04DE"/>
    <w:rsid w:val="002B70D6"/>
    <w:rsid w:val="002D045E"/>
    <w:rsid w:val="002D05A8"/>
    <w:rsid w:val="002D61A9"/>
    <w:rsid w:val="00313C1E"/>
    <w:rsid w:val="00330F08"/>
    <w:rsid w:val="00334565"/>
    <w:rsid w:val="003350A3"/>
    <w:rsid w:val="003740E7"/>
    <w:rsid w:val="00383DCD"/>
    <w:rsid w:val="003848F0"/>
    <w:rsid w:val="0039274F"/>
    <w:rsid w:val="003A2103"/>
    <w:rsid w:val="003A669F"/>
    <w:rsid w:val="003B423C"/>
    <w:rsid w:val="003C4DE6"/>
    <w:rsid w:val="003E3B0B"/>
    <w:rsid w:val="004347F1"/>
    <w:rsid w:val="004452D5"/>
    <w:rsid w:val="00455FEA"/>
    <w:rsid w:val="00466426"/>
    <w:rsid w:val="00470573"/>
    <w:rsid w:val="00476D21"/>
    <w:rsid w:val="00504F36"/>
    <w:rsid w:val="00507C53"/>
    <w:rsid w:val="0051120B"/>
    <w:rsid w:val="0056106D"/>
    <w:rsid w:val="00577AB1"/>
    <w:rsid w:val="005849B6"/>
    <w:rsid w:val="0059473B"/>
    <w:rsid w:val="005C540A"/>
    <w:rsid w:val="005C5D13"/>
    <w:rsid w:val="00603639"/>
    <w:rsid w:val="00607DA0"/>
    <w:rsid w:val="006804F1"/>
    <w:rsid w:val="00680CFC"/>
    <w:rsid w:val="006D3B74"/>
    <w:rsid w:val="006F069D"/>
    <w:rsid w:val="00717579"/>
    <w:rsid w:val="00746C81"/>
    <w:rsid w:val="0076407E"/>
    <w:rsid w:val="0077062B"/>
    <w:rsid w:val="00791C6B"/>
    <w:rsid w:val="007D5F18"/>
    <w:rsid w:val="007F1A98"/>
    <w:rsid w:val="008074D1"/>
    <w:rsid w:val="008079EE"/>
    <w:rsid w:val="00845BF0"/>
    <w:rsid w:val="008502F1"/>
    <w:rsid w:val="00857428"/>
    <w:rsid w:val="00884F0F"/>
    <w:rsid w:val="008947DC"/>
    <w:rsid w:val="008A1C18"/>
    <w:rsid w:val="008D210F"/>
    <w:rsid w:val="008E026C"/>
    <w:rsid w:val="00902115"/>
    <w:rsid w:val="00911B92"/>
    <w:rsid w:val="0095489F"/>
    <w:rsid w:val="00956E6B"/>
    <w:rsid w:val="009A5028"/>
    <w:rsid w:val="009D21D3"/>
    <w:rsid w:val="00A27EEB"/>
    <w:rsid w:val="00A35EEE"/>
    <w:rsid w:val="00A417C7"/>
    <w:rsid w:val="00A70126"/>
    <w:rsid w:val="00A762D6"/>
    <w:rsid w:val="00A81096"/>
    <w:rsid w:val="00A95198"/>
    <w:rsid w:val="00AA7867"/>
    <w:rsid w:val="00AB4FCF"/>
    <w:rsid w:val="00AD20B2"/>
    <w:rsid w:val="00AD4099"/>
    <w:rsid w:val="00B511EF"/>
    <w:rsid w:val="00B55D55"/>
    <w:rsid w:val="00BA23FF"/>
    <w:rsid w:val="00C0323B"/>
    <w:rsid w:val="00C23F02"/>
    <w:rsid w:val="00C401DC"/>
    <w:rsid w:val="00D34533"/>
    <w:rsid w:val="00D51DBE"/>
    <w:rsid w:val="00D609C7"/>
    <w:rsid w:val="00D76E2B"/>
    <w:rsid w:val="00D86EB9"/>
    <w:rsid w:val="00D9576E"/>
    <w:rsid w:val="00D96B90"/>
    <w:rsid w:val="00DD29BD"/>
    <w:rsid w:val="00DD316B"/>
    <w:rsid w:val="00E20FC2"/>
    <w:rsid w:val="00E26C3B"/>
    <w:rsid w:val="00E34889"/>
    <w:rsid w:val="00E37D72"/>
    <w:rsid w:val="00E666B7"/>
    <w:rsid w:val="00E7515D"/>
    <w:rsid w:val="00EA7703"/>
    <w:rsid w:val="00EB2DF3"/>
    <w:rsid w:val="00EC764A"/>
    <w:rsid w:val="00EF3E1F"/>
    <w:rsid w:val="00F21E43"/>
    <w:rsid w:val="00F2686F"/>
    <w:rsid w:val="00F3023A"/>
    <w:rsid w:val="00F441CA"/>
    <w:rsid w:val="00F85CD9"/>
    <w:rsid w:val="00FA185A"/>
    <w:rsid w:val="00FB3CD7"/>
    <w:rsid w:val="00FD2489"/>
    <w:rsid w:val="00FE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B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2B7"/>
    <w:pPr>
      <w:ind w:left="720"/>
      <w:contextualSpacing/>
    </w:pPr>
  </w:style>
  <w:style w:type="paragraph" w:styleId="a4">
    <w:name w:val="header"/>
    <w:basedOn w:val="a"/>
    <w:link w:val="a5"/>
    <w:uiPriority w:val="99"/>
    <w:rsid w:val="000D72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2B7"/>
    <w:rPr>
      <w:rFonts w:ascii="Calibri" w:eastAsia="Calibri" w:hAnsi="Calibri" w:cs="Times New Roman"/>
      <w:lang w:val="uk-UA"/>
    </w:rPr>
  </w:style>
  <w:style w:type="character" w:styleId="a6">
    <w:name w:val="Strong"/>
    <w:basedOn w:val="a0"/>
    <w:uiPriority w:val="99"/>
    <w:qFormat/>
    <w:rsid w:val="000D72B7"/>
    <w:rPr>
      <w:rFonts w:cs="Times New Roman"/>
      <w:b/>
      <w:bCs/>
    </w:rPr>
  </w:style>
  <w:style w:type="paragraph" w:styleId="a7">
    <w:name w:val="Normal (Web)"/>
    <w:basedOn w:val="a"/>
    <w:uiPriority w:val="99"/>
    <w:rsid w:val="000D72B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8">
    <w:name w:val="page number"/>
    <w:basedOn w:val="a0"/>
    <w:uiPriority w:val="99"/>
    <w:rsid w:val="000D72B7"/>
    <w:rPr>
      <w:rFonts w:cs="Times New Roman"/>
    </w:rPr>
  </w:style>
  <w:style w:type="paragraph" w:styleId="a9">
    <w:name w:val="Body Text"/>
    <w:basedOn w:val="a"/>
    <w:link w:val="aa"/>
    <w:rsid w:val="000D72B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0D72B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docdata">
    <w:name w:val="docdata"/>
    <w:aliases w:val="docy,v5,36498,baiaagaaboqcaaadaouaaauqhqaaaaaaaaaaaaaaaaaaaaaaaaaaaaaaaaaaaaaaaaaaaaaaaaaaaaaaaaaaaaaaaaaaaaaaaaaaaaaaaaaaaaaaaaaaaaaaaaaaaaaaaaaaaaaaaaaaaaaaaaaaaaaaaaaaaaaaaaaaaaaaaaaaaaaaaaaaaaaaaaaaaaaaaaaaaaaaaaaaaaaaaaaaaaaaaaaaaaaaaaaaaaa"/>
    <w:basedOn w:val="a"/>
    <w:rsid w:val="000D7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Contents">
    <w:name w:val="Table Contents"/>
    <w:basedOn w:val="a"/>
    <w:qFormat/>
    <w:rsid w:val="000D72B7"/>
    <w:pPr>
      <w:widowControl w:val="0"/>
      <w:suppressLineNumber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character" w:styleId="ab">
    <w:name w:val="Hyperlink"/>
    <w:basedOn w:val="a0"/>
    <w:uiPriority w:val="99"/>
    <w:semiHidden/>
    <w:unhideWhenUsed/>
    <w:rsid w:val="00E75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9F68E-A2F8-42E2-A880-3ED39A30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Алёна</cp:lastModifiedBy>
  <cp:revision>48</cp:revision>
  <cp:lastPrinted>2023-01-20T09:59:00Z</cp:lastPrinted>
  <dcterms:created xsi:type="dcterms:W3CDTF">2021-01-19T13:27:00Z</dcterms:created>
  <dcterms:modified xsi:type="dcterms:W3CDTF">2023-02-13T12:14:00Z</dcterms:modified>
</cp:coreProperties>
</file>