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E" w:rsidRPr="007D3A08" w:rsidRDefault="00F535DE" w:rsidP="007D3A0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F535DE" w:rsidRPr="007D3A08" w:rsidRDefault="00F535DE" w:rsidP="007D3A0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щодо п</w:t>
      </w:r>
      <w:r w:rsidR="00F77CF1" w:rsidRPr="007D3A08">
        <w:rPr>
          <w:rFonts w:ascii="Times New Roman" w:hAnsi="Times New Roman" w:cs="Times New Roman"/>
          <w:b/>
          <w:sz w:val="28"/>
          <w:szCs w:val="28"/>
          <w:lang w:val="uk-UA"/>
        </w:rPr>
        <w:t>овідомлення про відкриття валютного рахунка (ПВВР)</w:t>
      </w:r>
    </w:p>
    <w:p w:rsidR="0069027E" w:rsidRPr="007D3A08" w:rsidRDefault="0069027E" w:rsidP="007D3A0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CF1" w:rsidRPr="007D3A08" w:rsidRDefault="00B15A0C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Повідомлення про відкриття валютного рахунку</w:t>
      </w:r>
      <w:r w:rsidR="00F77CF1"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77CF1" w:rsidRPr="007D3A08">
        <w:rPr>
          <w:rFonts w:ascii="Times New Roman" w:hAnsi="Times New Roman" w:cs="Times New Roman"/>
          <w:i/>
          <w:sz w:val="28"/>
          <w:szCs w:val="28"/>
          <w:lang w:val="uk-UA"/>
        </w:rPr>
        <w:t>одається в електронній формі.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Суб’єкт декларування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зобов’язаний повідомити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Національне агентство про відкриття валютного рахунка в установі банку-нерезидента 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у 10-денний строк з дня:</w:t>
      </w:r>
    </w:p>
    <w:p w:rsidR="00F77CF1" w:rsidRPr="007D3A08" w:rsidRDefault="00F77CF1" w:rsidP="007D3A08">
      <w:pPr>
        <w:pStyle w:val="a7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коли суб’єкт декларування або член його сім’ї відкрив валютний рахунок;</w:t>
      </w:r>
    </w:p>
    <w:p w:rsidR="00F77CF1" w:rsidRPr="007D3A08" w:rsidRDefault="00F77CF1" w:rsidP="007D3A08">
      <w:pPr>
        <w:pStyle w:val="a7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коли суб’єкту декларування стало відомо або повинно було стати відомо про відкриття такого рахунка членом його сім’ї (п. 3 Порядку № 451/21).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Суб’єкт декларування 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особисто заповнює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відповідну електронну форму повідомлення про відкриття ним або членом його сім’ї валютного рахунка в установі банку-нерезидента (далі – повідомлення) після автентифікації у персональному електронному кабінеті Реєстру (п. 4 Порядку № 451/21).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Подання ПВВР до Реєстру підтверджується листами на електронну пошту суб’єкта декларування та у персональному електронному кабінеті суб’єкта декларування.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ПВВР подається незалежно від того, перебуває суб’єкт декларування в Україні чи за її межами.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ПВВР в паперовій формі не подається (п. 7 Порядку № 451/21).</w:t>
      </w:r>
    </w:p>
    <w:p w:rsidR="007D3A08" w:rsidRPr="007D3A08" w:rsidRDefault="007D3A08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Якщо суб’єкт декларування або член його сім’ї 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відкрив в один день декілька валютних рахунків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в одній установі банку-нерезидента, суб’єкт декларування подає одне ПВВР із зазначенням номерів відповідних валютних рахунків і місцезнаходження установи банку-нерезидента.</w:t>
      </w:r>
    </w:p>
    <w:p w:rsidR="007D3A08" w:rsidRPr="007D3A08" w:rsidRDefault="007D3A08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Якщо валютні рахунки відкриті в один день як суб’єктом декларування, так і членом його сім’ї, або якщо валютні рахунки відкриті 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в різних установах банку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нерезидента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>, подаються окремі ПВВР стосовно кожної особи чи кожної установи банку-нерезидента (п. 5 Порядку № 451/21).</w:t>
      </w:r>
    </w:p>
    <w:p w:rsidR="00B15A0C" w:rsidRPr="007D3A08" w:rsidRDefault="00B15A0C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CF1" w:rsidRPr="007D3A08" w:rsidRDefault="00B15A0C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77CF1"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суб’єкта декларування </w:t>
      </w:r>
      <w:r w:rsidR="00F77CF1" w:rsidRPr="007D3A08">
        <w:rPr>
          <w:rFonts w:ascii="Times New Roman" w:hAnsi="Times New Roman" w:cs="Times New Roman"/>
          <w:b/>
          <w:sz w:val="28"/>
          <w:szCs w:val="28"/>
          <w:lang w:val="uk-UA"/>
        </w:rPr>
        <w:t>припи</w:t>
      </w: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няється обов’язок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подавати ПВВР п</w:t>
      </w:r>
      <w:r w:rsidR="00F77CF1" w:rsidRPr="007D3A08">
        <w:rPr>
          <w:rFonts w:ascii="Times New Roman" w:hAnsi="Times New Roman" w:cs="Times New Roman"/>
          <w:sz w:val="28"/>
          <w:szCs w:val="28"/>
          <w:lang w:val="uk-UA"/>
        </w:rPr>
        <w:t>ісля припинення виконання функцій держави</w:t>
      </w:r>
      <w:r w:rsidR="007D3A08" w:rsidRPr="007D3A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7CF1"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або місцевого самоврядування</w:t>
      </w:r>
      <w:r w:rsidR="007D3A08" w:rsidRPr="007D3A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7CF1"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або перебування на посаді, що зумовлює здійснення діяльності, яка передбачає обов’язок подання декларації.</w:t>
      </w:r>
    </w:p>
    <w:p w:rsidR="00F535DE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Це може бути звільнення суб’єкта декларування або переведення на іншу посаду, яка не передбачає виконання функцій держави або місцевого самоврядування.</w:t>
      </w:r>
    </w:p>
    <w:p w:rsidR="00B15A0C" w:rsidRPr="007D3A08" w:rsidRDefault="00B15A0C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A289A" w:rsidRPr="007D3A0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D3A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потрібно </w:t>
      </w:r>
      <w:r w:rsidR="00F77CF1" w:rsidRPr="007D3A08">
        <w:rPr>
          <w:rFonts w:ascii="Times New Roman" w:hAnsi="Times New Roman" w:cs="Times New Roman"/>
          <w:i/>
          <w:sz w:val="28"/>
          <w:szCs w:val="28"/>
          <w:lang w:val="uk-UA"/>
        </w:rPr>
        <w:t>повідомляти про відкриття броке</w:t>
      </w:r>
      <w:r w:rsidRPr="007D3A08">
        <w:rPr>
          <w:rFonts w:ascii="Times New Roman" w:hAnsi="Times New Roman" w:cs="Times New Roman"/>
          <w:i/>
          <w:sz w:val="28"/>
          <w:szCs w:val="28"/>
          <w:lang w:val="uk-UA"/>
        </w:rPr>
        <w:t>рського, інвестиційного рахунку 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 декларування зобов’язаний повідомити Національне агентство про відкриття ним або членом його сім’ї валютного рахунка в установі банку-нерезидента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> (ч. 1 ст. 52 Закону).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Повідомлення про відкриття інших рахунків, які обслуговуються юридичними особами, які не є установами банку-нерезидента, до Національного агентства не подаються.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Валютний рахунок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– будь-який рахунок суб’єкта декларування або члена його сім’ї, відкритий в установі банку-нерезидента в будь-якій валюті (п. 2 Порядку № 451/21).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Установа банку-нерезидента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– юридична особа – нерезидент будь-якої організаційно-правової форми, яка є банком, її відокремлені підрозділи (філії, відділення), що створені і діють відповідно до законодавства іноземної держави та з місцезнаходженням за межами України (п. 2 Порядку № 451/21).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Банк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– юридична особа, яка на підставі банківської ліцензії має виключне право надавати банківські послуги (ст. 2 Закону України «Про банки і банківську діяльність»).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Валюта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– національна валюта України та іноземна валюта.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валюта (гривня):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а) грошові знаки грошової одиниці України – гривні у вигляді банкнот, монет, у тому числі обігових, пам’ятних та ювілейних монет, і в інших формах, що перебувають в обігу та є законним платіжним засобом на території України, а також вилучені або такі, що вилучаються з обігу, але підлягають обміну на грошові знаки, що перебувають в обігу;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б) кошти на рахунках у банках та інших фінансових установах, виражені у гривні;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в) електронні гроші, номіновані у гривні;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г) цифрові гроші Національного банку України (п. 6 ст. 1 Закону України «Про валюту і валютні операції»).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Іноземна валюта: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а) грошові знаки грошових одиниць іноземних держав у вигляді банкнот, казначейських білетів, монет, що перебувають в обігу та є законним платіжним засобом на території відповідної іноземної держави або групи іноземних держав, а також вилучені або такі, що вилучаються з обігу, але підлягають обміну на грошові знаки, що перебувають в обігу;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б) кошти на рахунках у банках та інших фінансових установах, виражені у грошових одиницях іноземних держав і міжнародних розрахункових (клірингових) одиницях (зокрема у спеціальних правах запозичення), що належать до виплати в іноземній валюті;</w:t>
      </w:r>
    </w:p>
    <w:p w:rsidR="00F77CF1" w:rsidRPr="007D3A08" w:rsidRDefault="00F77CF1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t>в) електронні гроші, номіновані у грошових одиницях іноземних держав та (або) банківських металах (п. 5 ст. 1 Закону України «Про валюту і валютні операції»).</w:t>
      </w:r>
    </w:p>
    <w:p w:rsidR="00623B24" w:rsidRPr="007D3A08" w:rsidRDefault="008A289A" w:rsidP="007D3A0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Докладніше 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>з Порядком інформування НАЗК про відкриття валютного рахунку за посиланням</w:t>
      </w:r>
      <w:r w:rsidR="007D3A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D3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623B24" w:rsidRPr="007D3A0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https://zakon.rada.gov.ua/laws/show/z0989-21#Text</w:t>
        </w:r>
      </w:hyperlink>
      <w:r w:rsidR="00623B24" w:rsidRPr="007D3A08">
        <w:rPr>
          <w:rFonts w:ascii="Times New Roman" w:hAnsi="Times New Roman" w:cs="Times New Roman"/>
          <w:sz w:val="28"/>
          <w:szCs w:val="28"/>
          <w:lang w:val="uk-UA"/>
        </w:rPr>
        <w:t>, або за QR-кодом:</w:t>
      </w:r>
    </w:p>
    <w:p w:rsidR="008A289A" w:rsidRDefault="00623B24" w:rsidP="007D3A0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3A0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285875" cy="1285875"/>
            <wp:effectExtent l="19050" t="0" r="9525" b="0"/>
            <wp:docPr id="1" name="Рисунок 0" descr="QR  порядок подання інформації про валютний рах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 порядок подання інформації про валютний рахуно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281" cy="128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08" w:rsidRPr="007D3A08" w:rsidRDefault="007D3A08" w:rsidP="007D3A0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5429" w:rsidRPr="00B62EEE" w:rsidRDefault="00DC5429" w:rsidP="007D3A08">
      <w:pPr>
        <w:spacing w:after="0" w:line="240" w:lineRule="auto"/>
        <w:ind w:left="567" w:firstLine="709"/>
        <w:jc w:val="both"/>
        <w:rPr>
          <w:b/>
          <w:i/>
          <w:sz w:val="20"/>
          <w:szCs w:val="20"/>
        </w:rPr>
      </w:pPr>
    </w:p>
    <w:sectPr w:rsidR="00DC5429" w:rsidRPr="00B62EEE" w:rsidSect="007D3A08">
      <w:footerReference w:type="default" r:id="rId10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BC" w:rsidRDefault="003A40BC" w:rsidP="00B62EEE">
      <w:pPr>
        <w:spacing w:after="0" w:line="240" w:lineRule="auto"/>
      </w:pPr>
      <w:r>
        <w:separator/>
      </w:r>
    </w:p>
  </w:endnote>
  <w:endnote w:type="continuationSeparator" w:id="1">
    <w:p w:rsidR="003A40BC" w:rsidRDefault="003A40BC" w:rsidP="00B6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EE" w:rsidRDefault="00B62EEE">
    <w:pPr>
      <w:pStyle w:val="af"/>
    </w:pPr>
    <w:r>
      <w:rPr>
        <w:noProof/>
        <w:lang w:eastAsia="zh-TW"/>
      </w:rPr>
      <w:pict>
        <v:group id="_x0000_s9219" style="position:absolute;left:0;text-align:left;margin-left:6.75pt;margin-top:760.65pt;width:594.45pt;height:51pt;flip:y;z-index:251662336;mso-width-percent:1000;mso-height-percent:900;mso-position-horizontal-relative:page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922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922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Пам’ятку підготовлено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уповноваженим підрозділом з питань запобігання та</w: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 виявлення корупції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виконавчого комітету Первомайської міської ради Харківської області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  <w:lang w:val="uk-UA"/>
      </w:rPr>
      <w:t>Сторінка</w:t>
    </w:r>
    <w:r>
      <w:rPr>
        <w:rFonts w:asciiTheme="majorHAnsi" w:hAnsiTheme="majorHAnsi" w:cstheme="majorHAnsi"/>
      </w:rPr>
      <w:t xml:space="preserve"> </w:t>
    </w:r>
    <w:fldSimple w:instr=" PAGE   \* MERGEFORMAT ">
      <w:r w:rsidRPr="00B62EEE">
        <w:rPr>
          <w:rFonts w:asciiTheme="majorHAnsi" w:hAnsiTheme="majorHAnsi" w:cstheme="majorHAnsi"/>
          <w:noProof/>
        </w:rPr>
        <w:t>1</w:t>
      </w:r>
    </w:fldSimple>
    <w:r>
      <w:rPr>
        <w:noProof/>
        <w:lang w:eastAsia="zh-TW"/>
      </w:rPr>
      <w:pict>
        <v:rect id="_x0000_s9218" style="position:absolute;left:0;text-align:left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9217" style="position:absolute;left:0;text-align:left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BC" w:rsidRDefault="003A40BC" w:rsidP="00B62EEE">
      <w:pPr>
        <w:spacing w:after="0" w:line="240" w:lineRule="auto"/>
      </w:pPr>
      <w:r>
        <w:separator/>
      </w:r>
    </w:p>
  </w:footnote>
  <w:footnote w:type="continuationSeparator" w:id="1">
    <w:p w:rsidR="003A40BC" w:rsidRDefault="003A40BC" w:rsidP="00B6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EFF"/>
    <w:multiLevelType w:val="hybridMultilevel"/>
    <w:tmpl w:val="ACC6C18A"/>
    <w:lvl w:ilvl="0" w:tplc="59C2F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06BE7"/>
    <w:multiLevelType w:val="hybridMultilevel"/>
    <w:tmpl w:val="03761B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6E1319B5"/>
    <w:multiLevelType w:val="multilevel"/>
    <w:tmpl w:val="EEA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9"/>
      <o:rules v:ext="edit">
        <o:r id="V:Rule1" type="connector" idref="#_x0000_s922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77CF1"/>
    <w:rsid w:val="0011404B"/>
    <w:rsid w:val="001B279B"/>
    <w:rsid w:val="00281017"/>
    <w:rsid w:val="002A37EC"/>
    <w:rsid w:val="003A40BC"/>
    <w:rsid w:val="00562541"/>
    <w:rsid w:val="00590627"/>
    <w:rsid w:val="00623B24"/>
    <w:rsid w:val="00663212"/>
    <w:rsid w:val="0069027E"/>
    <w:rsid w:val="006B74CF"/>
    <w:rsid w:val="006E50F6"/>
    <w:rsid w:val="007263E0"/>
    <w:rsid w:val="00753525"/>
    <w:rsid w:val="007A563C"/>
    <w:rsid w:val="007D3A08"/>
    <w:rsid w:val="007D4301"/>
    <w:rsid w:val="00804249"/>
    <w:rsid w:val="00822B51"/>
    <w:rsid w:val="008A289A"/>
    <w:rsid w:val="008A4441"/>
    <w:rsid w:val="0094018A"/>
    <w:rsid w:val="00995280"/>
    <w:rsid w:val="00B15A0C"/>
    <w:rsid w:val="00B62EEE"/>
    <w:rsid w:val="00D2740A"/>
    <w:rsid w:val="00DC5429"/>
    <w:rsid w:val="00E3564F"/>
    <w:rsid w:val="00F535DE"/>
    <w:rsid w:val="00F7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F"/>
    <w:pPr>
      <w:ind w:firstLine="567"/>
    </w:pPr>
  </w:style>
  <w:style w:type="paragraph" w:styleId="1">
    <w:name w:val="heading 1"/>
    <w:basedOn w:val="a"/>
    <w:link w:val="10"/>
    <w:uiPriority w:val="9"/>
    <w:qFormat/>
    <w:rsid w:val="00F77CF1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CF1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77C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CF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7CF1"/>
    <w:rPr>
      <w:i/>
      <w:iCs/>
    </w:rPr>
  </w:style>
  <w:style w:type="character" w:styleId="a6">
    <w:name w:val="Strong"/>
    <w:basedOn w:val="a0"/>
    <w:uiPriority w:val="22"/>
    <w:qFormat/>
    <w:rsid w:val="00F77CF1"/>
    <w:rPr>
      <w:b/>
      <w:bCs/>
    </w:rPr>
  </w:style>
  <w:style w:type="paragraph" w:styleId="a7">
    <w:name w:val="List Paragraph"/>
    <w:basedOn w:val="a"/>
    <w:uiPriority w:val="34"/>
    <w:qFormat/>
    <w:rsid w:val="00F535D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A289A"/>
    <w:rPr>
      <w:color w:val="800080" w:themeColor="followedHyperlink"/>
      <w:u w:val="single"/>
    </w:rPr>
  </w:style>
  <w:style w:type="paragraph" w:styleId="a9">
    <w:name w:val="Body Text"/>
    <w:basedOn w:val="a"/>
    <w:link w:val="aa"/>
    <w:semiHidden/>
    <w:unhideWhenUsed/>
    <w:rsid w:val="002A37EC"/>
    <w:pPr>
      <w:suppressAutoHyphens/>
      <w:spacing w:after="140" w:line="288" w:lineRule="auto"/>
      <w:ind w:firstLine="0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2A37EC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62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2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6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62EEE"/>
  </w:style>
  <w:style w:type="paragraph" w:styleId="af">
    <w:name w:val="footer"/>
    <w:basedOn w:val="a"/>
    <w:link w:val="af0"/>
    <w:uiPriority w:val="99"/>
    <w:semiHidden/>
    <w:unhideWhenUsed/>
    <w:rsid w:val="00B6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62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50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668343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68847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133498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851945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89-21#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4F9D-7E83-4543-828C-CD94CE47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Сторожев</cp:lastModifiedBy>
  <cp:revision>9</cp:revision>
  <dcterms:created xsi:type="dcterms:W3CDTF">2023-04-21T10:16:00Z</dcterms:created>
  <dcterms:modified xsi:type="dcterms:W3CDTF">2023-04-21T10:57:00Z</dcterms:modified>
</cp:coreProperties>
</file>