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9E" w:rsidRPr="00FD709E" w:rsidRDefault="00FD709E" w:rsidP="00FD709E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Право </w:t>
      </w:r>
      <w:proofErr w:type="spellStart"/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податкову</w:t>
      </w:r>
      <w:proofErr w:type="spellEnd"/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знижку</w:t>
      </w:r>
      <w:proofErr w:type="spellEnd"/>
    </w:p>
    <w:p w:rsidR="00FD709E" w:rsidRPr="00FD709E" w:rsidRDefault="00FD709E" w:rsidP="00FD709E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4"/>
          <w:szCs w:val="24"/>
          <w:lang w:val="en-US" w:eastAsia="ru-RU"/>
        </w:rPr>
      </w:pPr>
    </w:p>
    <w:p w:rsidR="00FD709E" w:rsidRPr="00FD709E" w:rsidRDefault="00FD709E" w:rsidP="00FD709E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920919" cy="3019068"/>
            <wp:effectExtent l="19050" t="0" r="0" b="0"/>
            <wp:docPr id="1" name="Рисунок 1" descr="https://kh.tax.gov.ua/data/material/000/430/535804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30/535804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45" cy="301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документально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резидента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на яку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наслідками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плати,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Кодекс).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ст.166 Кодексу.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 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вітчизняних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проценті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іпотечним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кредитом, у порядку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175 Кодексу;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перерахованих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пожертвувань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неприбутковим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133.4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Кодексу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такого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страховику-резиденту,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договорами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довгострокового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контрактом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недержавним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фондом, 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депозитний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вклади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банківського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такого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сумах,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 166.3.5 п. 166.3 ст. 166 Кодексу;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оплата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оплата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усиновленням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включаючи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переобладнанням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платникові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сумішевого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біоетанолу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біодизелю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стиснутого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скрапленого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біопалива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договором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переміщеної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 166.3.9 п. 166.3 ст. 166 Кодексу;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доступного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іпотечного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166.4 ст. 166 Кодексу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резиденту,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 само резиденту -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через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відмовилась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оподатковуваного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164.6 ст. 164 Кодексу;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скористався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правом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наслідками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роки не переноситься.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п.п. 166.2.1 п. 166.2 ст. 166 Кодексу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квитанціями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фіскальними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чеками,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прибутковими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касовими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ордерами,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ідентифікують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особу, яка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звертається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знижкою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покупця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отримувача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копіями</w:t>
      </w:r>
      <w:proofErr w:type="spellEnd"/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повинно бути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відображено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оплати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166.2.1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декларацією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доходи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надсилаються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підлягають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(п.п. 166.2.2 п. 166.2 ст. 166 Кодексу).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платіжні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прибуткові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ордери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товару) (за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дозволять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задекларовано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страхуванню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знижки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49.1 ст. 49 Кодексу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строки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органу,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надіслати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поштою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описом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5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граничного строку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документообіг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"Про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довірчі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(не </w:t>
      </w:r>
      <w:proofErr w:type="spellStart"/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години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дня,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спливає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сервіс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приватній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доходи» (ЕК для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доходи),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контролюючого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в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09E" w:rsidRPr="00FD709E" w:rsidRDefault="00FD709E" w:rsidP="00FD7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розміщена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вебпорталі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особам» (</w:t>
      </w:r>
      <w:hyperlink r:id="rId5" w:history="1">
        <w:r w:rsidRPr="00FD709E">
          <w:rPr>
            <w:rFonts w:ascii="Times New Roman" w:eastAsia="Times New Roman" w:hAnsi="Times New Roman" w:cs="Times New Roman"/>
            <w:color w:val="2D5CA6"/>
            <w:sz w:val="24"/>
            <w:szCs w:val="24"/>
            <w:lang w:eastAsia="ru-RU"/>
          </w:rPr>
          <w:t>https://tax.gov.ua/fizichnim-osobam/podannya-deklaratsii-pro-/forma-deklaratsii/</w:t>
        </w:r>
      </w:hyperlink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 «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6" w:history="1">
        <w:r w:rsidRPr="00FD709E">
          <w:rPr>
            <w:rFonts w:ascii="Times New Roman" w:eastAsia="Times New Roman" w:hAnsi="Times New Roman" w:cs="Times New Roman"/>
            <w:color w:val="2D5CA6"/>
            <w:sz w:val="24"/>
            <w:szCs w:val="24"/>
            <w:lang w:eastAsia="ru-RU"/>
          </w:rPr>
          <w:t>https://tax.gov.ua/others/deklaruvannya-gromadyan</w:t>
        </w:r>
      </w:hyperlink>
      <w:r w:rsidRPr="00FD7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26411" w:rsidRPr="00FD709E" w:rsidRDefault="00326411" w:rsidP="00FD70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26411" w:rsidRPr="00FD709E" w:rsidSect="0032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09E"/>
    <w:rsid w:val="00326411"/>
    <w:rsid w:val="00BE127A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11"/>
  </w:style>
  <w:style w:type="paragraph" w:styleId="1">
    <w:name w:val="heading 1"/>
    <w:basedOn w:val="a"/>
    <w:link w:val="10"/>
    <w:uiPriority w:val="9"/>
    <w:qFormat/>
    <w:rsid w:val="00FD7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70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031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29899330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.gov.ua/others/deklaruvannya-gromadyan" TargetMode="External"/><Relationship Id="rId5" Type="http://schemas.openxmlformats.org/officeDocument/2006/relationships/hyperlink" Target="https://tax.gov.ua/fizichnim-osobam/podannya-deklaratsii-pro-/forma-deklarats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2021-12-08T06:52:00Z</dcterms:created>
  <dcterms:modified xsi:type="dcterms:W3CDTF">2021-12-08T07:25:00Z</dcterms:modified>
</cp:coreProperties>
</file>